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2025年度部门汇总内部控制报告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填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填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7"/>
        <w:tblpPr w:leftFromText="180" w:rightFromText="180" w:vertAnchor="text" w:horzAnchor="margin" w:tblpXSpec="center" w:tblpY="278"/>
        <w:tblOverlap w:val="never"/>
        <w:tblW w:w="9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25" w:type="dxa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汇总的单位数</w:t>
            </w:r>
          </w:p>
        </w:tc>
        <w:tc>
          <w:tcPr>
            <w:tcW w:w="7494" w:type="dxa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25" w:type="dxa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预算级次</w:t>
            </w:r>
          </w:p>
        </w:tc>
        <w:tc>
          <w:tcPr>
            <w:tcW w:w="7494" w:type="dxa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 xml:space="preserve">10.中央级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.省级 30.地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级 40.县级 50.乡镇级 90.非预算单位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utoSpaceDE w:val="0"/>
        <w:autoSpaceDN w:val="0"/>
        <w:spacing w:before="156" w:beforeLines="50" w:after="156" w:afterLines="50"/>
        <w:jc w:val="center"/>
        <w:textAlignment w:val="baseline"/>
        <w:rPr>
          <w:rFonts w:hint="eastAsia" w:ascii="华文中宋" w:hAnsi="华文中宋" w:eastAsia="华文中宋"/>
          <w:b/>
          <w:color w:val="000000"/>
          <w:sz w:val="36"/>
          <w:szCs w:val="36"/>
        </w:rPr>
        <w:sectPr>
          <w:footerReference r:id="rId3" w:type="default"/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1" w:name="_GoBack"/>
      <w:bookmarkEnd w:id="1"/>
    </w:p>
    <w:p>
      <w:pPr>
        <w:spacing w:beforeLines="0" w:afterLines="0" w:line="588" w:lineRule="exact"/>
        <w:rPr>
          <w:rFonts w:ascii="黑体" w:eastAsia="黑体"/>
          <w:sz w:val="28"/>
          <w:szCs w:val="28"/>
        </w:rPr>
      </w:pPr>
    </w:p>
    <w:p>
      <w:pPr>
        <w:spacing w:beforeLines="0" w:afterLines="0"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>
      <w:pPr>
        <w:spacing w:beforeLines="0" w:afterLines="0"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</w:p>
    <w:p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1.202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内部控制报告分为正文和附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两个部分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。</w:t>
      </w:r>
    </w:p>
    <w:p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各部门根据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2025年度内部控制工作实际开展情况、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本级及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所属单位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编制的2025年度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如实填报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3.各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应在202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年度行政事业单位内部控制报告填报系统中填报相关内容，系统自动生成“202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内部控制报告”。</w:t>
      </w:r>
    </w:p>
    <w:p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应当履行内部审批程序后对外报出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。</w:t>
      </w:r>
    </w:p>
    <w:p>
      <w:pPr>
        <w:autoSpaceDE w:val="0"/>
        <w:autoSpaceDN w:val="0"/>
        <w:spacing w:before="0" w:beforeLines="0" w:after="0" w:afterLines="0" w:line="588" w:lineRule="exact"/>
        <w:ind w:firstLine="576" w:firstLineChars="200"/>
        <w:jc w:val="both"/>
        <w:textAlignment w:val="baseline"/>
        <w:rPr>
          <w:rFonts w:hint="eastAsia" w:ascii="华文中宋" w:hAnsi="华文中宋" w:eastAsia="华文中宋"/>
          <w:b/>
          <w:color w:val="000000"/>
          <w:sz w:val="28"/>
          <w:szCs w:val="28"/>
        </w:rPr>
        <w:sectPr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.本报告应当按照规定进行脱敏脱密处理，严禁报送涉密信息。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7229475"/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部门内部控制工作开展情况</w:t>
      </w:r>
    </w:p>
    <w:p>
      <w:pPr>
        <w:pStyle w:val="8"/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部门层面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部门层面内部控制领导机构、内部控制建设牵头部门和评价部门设置情况。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领导机构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召开会议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对部门本级及所属单位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内部控制工作的部署安排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培训、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等情况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及实施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本部门制定用于规范部门层面内部控制工作的有关制度名称、主要内容及2025年度更新情况。部门内部控制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制度实施的范围、方式方法、效果等情况。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评价工作情况。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部门已按照《行政事业单位内部控制评价办法》相关规定开展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内部控制报告审核情况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部门汇总内部控制报告、部门本级及所属单位内部控制报告的正文、附件及佐证材料的审核情况，包括内部控制报告的规范性与完整性、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内部控制评价结果的客观性与准确性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，以及佐证材料的真实性与相关性等。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开展现场核查的，说明现场核查情况。</w:t>
      </w:r>
    </w:p>
    <w:p>
      <w:pPr>
        <w:pStyle w:val="8"/>
        <w:spacing w:line="588" w:lineRule="exact"/>
        <w:ind w:firstLine="840"/>
        <w:outlineLvl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部门本级及所属单位内部控制工作汇总情况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（自动生成）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（一）部门本级及所属单位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已设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个单位由单位负责人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个单位由分管综合事务负责人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个单位由分管财务负责人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个单位由分管其他业务负责人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2025年度共召开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内部控制领导机构会议，开展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内部控制相关培训。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sz w:val="32"/>
          <w:szCs w:val="32"/>
          <w:lang w:val="en-US" w:eastAsia="zh-CN"/>
        </w:rPr>
        <w:t>部门本级及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所属单位风险评估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风险评估覆盖情况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内部控制工作组织情况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个单位覆盖内部控制机制建设情况，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个单位覆盖内部管理制度完善情况，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个单位覆盖内部控制关键岗位管理情况，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个单位覆盖财务信息的编报情况，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个单位覆盖其他情况。</w:t>
      </w:r>
    </w:p>
    <w:p>
      <w:pPr>
        <w:pStyle w:val="2"/>
        <w:spacing w:line="588" w:lineRule="exact"/>
        <w:ind w:firstLine="640" w:firstLineChars="200"/>
        <w:jc w:val="both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业务层面风险评估覆盖情况：适用预算业务的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个，适用收支业务的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个，适用政府采购业务的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个，适用资产管理的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个，适用建设项目管理的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个，适用合同管理的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个单位覆盖其他业务领域。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 w:bidi="ar-SA"/>
        </w:rPr>
        <w:t>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部门本级及所属单位评价结果汇总情况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 w:bidi="ar-SA"/>
        </w:rPr>
        <w:t>。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开展2025年度内部控制评价工作，其中，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个单位内部控制评价结果为优，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个单位内部控制评价结果为良，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个单位内部控制评价结果为差；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个单位未开展2025年度内部控制评价工作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numPr>
          <w:ilvl w:val="-1"/>
          <w:numId w:val="0"/>
        </w:numPr>
        <w:spacing w:line="588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含部门本级）的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2025年度内部控制评价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复核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个单位评价得分，调整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个单位评价结果。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（四）部门本级及所属单位巡视巡察、纪检监察、审计、财会监督等工作发现的与内部控制相关问题及其整改情况。</w:t>
      </w:r>
    </w:p>
    <w:p>
      <w:pPr>
        <w:pStyle w:val="2"/>
        <w:spacing w:line="588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2025年度部门本级及所属单位巡视巡察、纪检监察、审计、财会监督等工作发现的与内部控制相关问题共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个。其中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个问题已完成整改，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个问题正在进行整改，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个问题未整改。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开展内部控制工作的经验做法和取得的成效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2025年度本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部门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在部门层面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内部控制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工作及组织推动所属单位开展内部控制工作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bidi="ar"/>
        </w:rPr>
        <w:t>过程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中总结出的有关经验做法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和取得的成效。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对行政事业单位内部控制工作的意见建议</w:t>
      </w:r>
    </w:p>
    <w:p>
      <w:pPr>
        <w:keepNext w:val="0"/>
        <w:keepLines w:val="0"/>
        <w:widowControl/>
        <w:suppressLineNumbers w:val="0"/>
        <w:spacing w:line="588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本部门对行政事业单位内部控制建设与实施、内部控制评价、内部控制报告编报等工作的意见建议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tabs>
          <w:tab w:val="left" w:pos="851"/>
        </w:tabs>
        <w:autoSpaceDE/>
        <w:autoSpaceDN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0"/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autoSpaceDE w:val="0"/>
        <w:autoSpaceDN w:val="0"/>
        <w:spacing w:line="588" w:lineRule="exact"/>
        <w:ind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</w:p>
    <w:p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2025年度部门内部控制评价报告</w:t>
      </w:r>
    </w:p>
    <w:p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得分</w:t>
      </w:r>
    </w:p>
    <w:p>
      <w:pPr>
        <w:widowControl/>
        <w:autoSpaceDE/>
        <w:autoSpaceDN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在部门本级及所属单位内部控制评价的基础上，通过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对部门内部控制建立与实施情况进行综合评价，2025年度部门内部控制评价得分为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7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9"/>
        <w:gridCol w:w="3482"/>
        <w:gridCol w:w="1217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一级评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价指标</w:t>
            </w:r>
          </w:p>
        </w:tc>
        <w:tc>
          <w:tcPr>
            <w:tcW w:w="3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二级评价指标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部门本级及所属单位内部控制体系建立与实施情况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议事决策机制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内部权力运行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组织架构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业务层面内部控制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收支业务控制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内部监督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内部监督机制建立情况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72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内部监督机制实施情况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部门内部控制工作开展情况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部门对本级及所属单位内部控制的指导与监督情况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对本级及所属单位内部控制的指导情况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对本级及所属单位内部控制的监督情况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对部门内部控制评价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内部控制评价结果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部门内部控制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autoSpaceDE/>
        <w:autoSpaceDN/>
        <w:spacing w:before="0" w:beforeAutospacing="0" w:after="0" w:afterAutospacing="0" w:line="58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三、部门内部控制评价发现的问题及整改情况</w:t>
      </w:r>
    </w:p>
    <w:tbl>
      <w:tblPr>
        <w:tblStyle w:val="7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0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12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autoSpaceDE w:val="0"/>
        <w:autoSpaceDN w:val="0"/>
        <w:spacing w:line="588" w:lineRule="exact"/>
        <w:ind w:firstLine="420" w:firstLineChars="200"/>
        <w:textAlignment w:val="baseline"/>
      </w:pPr>
    </w:p>
    <w:sectPr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宋体S-超大字符集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思源黑体 CN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9556115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2.45pt;height:144pt;width:144pt;mso-position-horizontal:outside;mso-position-horizontal-relative:margin;mso-position-vertical-relative:page;mso-wrap-style:none;z-index:251658240;mso-width-relative:page;mso-height-relative:page;" filled="f" stroked="f" coordsize="21600,21600" o:gfxdata="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l1pOrWAAAACg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5021"/>
    <w:rsid w:val="045A77D7"/>
    <w:rsid w:val="07177C01"/>
    <w:rsid w:val="0740034D"/>
    <w:rsid w:val="087B3ADE"/>
    <w:rsid w:val="098552F6"/>
    <w:rsid w:val="0B0009AC"/>
    <w:rsid w:val="0CA27F6D"/>
    <w:rsid w:val="13522EC3"/>
    <w:rsid w:val="1F2E78C2"/>
    <w:rsid w:val="1FFF9EA2"/>
    <w:rsid w:val="2D05216B"/>
    <w:rsid w:val="3F5218BD"/>
    <w:rsid w:val="44D767B0"/>
    <w:rsid w:val="4EFF73E3"/>
    <w:rsid w:val="4F767986"/>
    <w:rsid w:val="537B829E"/>
    <w:rsid w:val="547D0351"/>
    <w:rsid w:val="575F7B04"/>
    <w:rsid w:val="5AFF9E3D"/>
    <w:rsid w:val="5D4E5591"/>
    <w:rsid w:val="5F3AE9C7"/>
    <w:rsid w:val="6813696A"/>
    <w:rsid w:val="6BEED339"/>
    <w:rsid w:val="6DBFF069"/>
    <w:rsid w:val="6FDFE177"/>
    <w:rsid w:val="6FFE0F61"/>
    <w:rsid w:val="713F3528"/>
    <w:rsid w:val="71C77838"/>
    <w:rsid w:val="7490224A"/>
    <w:rsid w:val="77FF71AA"/>
    <w:rsid w:val="78C75021"/>
    <w:rsid w:val="7ADB6915"/>
    <w:rsid w:val="7E192908"/>
    <w:rsid w:val="7FFEB4CA"/>
    <w:rsid w:val="8B936500"/>
    <w:rsid w:val="BB77815E"/>
    <w:rsid w:val="C1FBA1B2"/>
    <w:rsid w:val="C9EF9EAC"/>
    <w:rsid w:val="CFBA3546"/>
    <w:rsid w:val="DFD90980"/>
    <w:rsid w:val="EE7602E2"/>
    <w:rsid w:val="F5BD043E"/>
    <w:rsid w:val="F9D78B9F"/>
    <w:rsid w:val="FBFF711C"/>
    <w:rsid w:val="FD79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2685</Words>
  <Characters>2863</Characters>
  <Lines>0</Lines>
  <Paragraphs>0</Paragraphs>
  <TotalTime>12</TotalTime>
  <ScaleCrop>false</ScaleCrop>
  <LinksUpToDate>false</LinksUpToDate>
  <CharactersWithSpaces>3077</CharactersWithSpaces>
  <Application>WPS Office_10.1.0.8096_F1E327BC-269C-435d-A152-05C5408002CA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2026-01-16T21:02:00Z</dcterms:created>
  <dc:creator>小不点儿</dc:creator>
  <cp:lastModifiedBy>张琳稀</cp:lastModifiedBy>
  <cp:lastPrinted>2026-01-17T03:14:00Z</cp:lastPrinted>
  <dcterms:modified xsi:type="dcterms:W3CDTF">2026-03-04T14:40:24Z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2052-10.1.0.8096</vt:lpwstr>
  </property>
  <property fmtid="{D5CDD505-2E9C-101B-9397-08002B2CF9AE}" pid="3" name="ICV">
    <vt:lpwstr>627C02AE4CB540868A10DD7339A16BE6_11</vt:lpwstr>
  </property>
  <property fmtid="{D5CDD505-2E9C-101B-9397-08002B2CF9AE}" pid="4" name="KSOTemplateDocerSaveRecord">
    <vt:lpwstr>eyJoZGlkIjoiZWU2NmMxYjY0YTYzZDhkNzc4MDdhYzQyODY4OTJmZDUiLCJ1c2VySWQiOiIxMjg5NDQ5MDU3In0=</vt:lpwstr>
  </property>
</Properties>
</file>