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7" w:lineRule="exact"/>
        <w:ind w:firstLine="0" w:firstLineChars="0"/>
        <w:rPr>
          <w:rFonts w:ascii="方正黑体_GBK" w:hAnsi="方正黑体_GBK" w:eastAsia="方正黑体_GBK" w:cs="方正黑体_GBK"/>
          <w:color w:val="auto"/>
        </w:rPr>
      </w:pPr>
      <w:bookmarkStart w:id="0" w:name="_GoBack"/>
      <w:bookmarkEnd w:id="0"/>
      <w:r>
        <w:rPr>
          <w:rFonts w:hint="eastAsia" w:ascii="方正黑体_GBK" w:hAnsi="方正黑体_GBK" w:eastAsia="方正黑体_GBK" w:cs="方正黑体_GBK"/>
          <w:color w:val="auto"/>
        </w:rPr>
        <w:t>附件</w:t>
      </w:r>
      <w:r>
        <w:rPr>
          <w:rFonts w:hint="default" w:ascii="Times New Roman" w:hAnsi="Times New Roman" w:eastAsia="方正黑体_GBK" w:cs="Times New Roman"/>
          <w:color w:val="auto"/>
        </w:rPr>
        <w:t>1</w:t>
      </w:r>
    </w:p>
    <w:p>
      <w:pPr>
        <w:spacing w:line="587" w:lineRule="exact"/>
        <w:ind w:firstLine="0" w:firstLineChars="0"/>
        <w:rPr>
          <w:color w:val="auto"/>
        </w:rPr>
      </w:pPr>
      <w:r>
        <w:rPr>
          <w:rFonts w:hint="eastAsia"/>
          <w:color w:val="auto"/>
        </w:rPr>
        <w:t xml:space="preserve"> </w:t>
      </w:r>
    </w:p>
    <w:p>
      <w:pPr>
        <w:spacing w:line="587" w:lineRule="exact"/>
        <w:ind w:firstLine="0" w:firstLineChars="0"/>
        <w:jc w:val="center"/>
        <w:rPr>
          <w:rFonts w:ascii="方正小标宋_GBK" w:eastAsia="方正小标宋_GBK"/>
          <w:color w:val="auto"/>
          <w:sz w:val="44"/>
          <w:szCs w:val="44"/>
        </w:rPr>
      </w:pPr>
      <w:r>
        <w:rPr>
          <w:rFonts w:eastAsia="方正小标宋_GBK"/>
          <w:color w:val="auto"/>
          <w:sz w:val="44"/>
          <w:szCs w:val="44"/>
        </w:rPr>
        <w:t>202</w:t>
      </w:r>
      <w:r>
        <w:rPr>
          <w:rFonts w:hint="eastAsia" w:eastAsia="方正小标宋_GBK"/>
          <w:color w:val="auto"/>
          <w:sz w:val="44"/>
          <w:szCs w:val="44"/>
        </w:rPr>
        <w:t>5</w:t>
      </w:r>
      <w:r>
        <w:rPr>
          <w:rFonts w:hint="eastAsia" w:ascii="方正小标宋_GBK" w:eastAsia="方正小标宋_GBK"/>
          <w:color w:val="auto"/>
          <w:sz w:val="44"/>
          <w:szCs w:val="44"/>
        </w:rPr>
        <w:t>年江苏省社会信用体系建设工作要点</w:t>
      </w:r>
    </w:p>
    <w:p>
      <w:pPr>
        <w:spacing w:line="587" w:lineRule="exact"/>
        <w:ind w:firstLine="630"/>
        <w:rPr>
          <w:color w:val="auto"/>
        </w:rPr>
      </w:pPr>
    </w:p>
    <w:p>
      <w:pPr>
        <w:spacing w:line="600" w:lineRule="exact"/>
        <w:ind w:firstLine="630"/>
        <w:rPr>
          <w:color w:val="auto"/>
          <w:sz w:val="32"/>
          <w:szCs w:val="32"/>
        </w:rPr>
      </w:pPr>
      <w:r>
        <w:rPr>
          <w:rFonts w:hint="eastAsia"/>
          <w:color w:val="auto"/>
          <w:sz w:val="32"/>
          <w:szCs w:val="32"/>
        </w:rPr>
        <w:t>2025年</w:t>
      </w:r>
      <w:r>
        <w:rPr>
          <w:rFonts w:ascii="方正仿宋_GBK"/>
          <w:color w:val="auto"/>
          <w:sz w:val="32"/>
          <w:szCs w:val="32"/>
        </w:rPr>
        <w:t>是</w:t>
      </w:r>
      <w:r>
        <w:rPr>
          <w:rFonts w:hint="eastAsia" w:ascii="方正仿宋_GBK"/>
          <w:color w:val="auto"/>
          <w:sz w:val="32"/>
          <w:szCs w:val="32"/>
        </w:rPr>
        <w:t>“十四五”规划收官之年，也是为“十五五”发展良好开局打下坚实基础的关键之年。</w:t>
      </w:r>
      <w:r>
        <w:rPr>
          <w:color w:val="auto"/>
          <w:sz w:val="32"/>
          <w:szCs w:val="32"/>
        </w:rPr>
        <w:t>全省社会信用体系建设</w:t>
      </w:r>
      <w:r>
        <w:rPr>
          <w:rFonts w:hint="eastAsia"/>
          <w:color w:val="auto"/>
          <w:sz w:val="32"/>
          <w:szCs w:val="32"/>
        </w:rPr>
        <w:t>工作</w:t>
      </w:r>
      <w:r>
        <w:rPr>
          <w:color w:val="auto"/>
          <w:sz w:val="32"/>
          <w:szCs w:val="32"/>
        </w:rPr>
        <w:t>要</w:t>
      </w:r>
      <w:r>
        <w:rPr>
          <w:rFonts w:hint="eastAsia"/>
          <w:color w:val="auto"/>
          <w:sz w:val="32"/>
          <w:szCs w:val="32"/>
        </w:rPr>
        <w:t>以习近平新时代中国特色社会主义思想为指导，全面贯彻落实党的二十大和二十届二中、三中全会精神，持续深化以信用为基础的新型监管机制和以“信易+”</w:t>
      </w:r>
      <w:r>
        <w:rPr>
          <w:color w:val="auto"/>
          <w:sz w:val="32"/>
          <w:szCs w:val="32"/>
        </w:rPr>
        <w:t>为重点的信用服务</w:t>
      </w:r>
      <w:r>
        <w:rPr>
          <w:rFonts w:hint="eastAsia"/>
          <w:color w:val="auto"/>
          <w:sz w:val="32"/>
          <w:szCs w:val="32"/>
        </w:rPr>
        <w:t>机制</w:t>
      </w:r>
      <w:r>
        <w:rPr>
          <w:color w:val="auto"/>
          <w:sz w:val="32"/>
          <w:szCs w:val="32"/>
        </w:rPr>
        <w:t>，</w:t>
      </w:r>
      <w:r>
        <w:rPr>
          <w:rFonts w:hint="eastAsia"/>
          <w:color w:val="auto"/>
          <w:sz w:val="32"/>
          <w:szCs w:val="32"/>
        </w:rPr>
        <w:t>促进提升公共管理和服务水平，扎实推动</w:t>
      </w:r>
      <w:r>
        <w:rPr>
          <w:color w:val="auto"/>
          <w:sz w:val="32"/>
          <w:szCs w:val="32"/>
        </w:rPr>
        <w:t>全省社会信用体系建设再上新台阶</w:t>
      </w:r>
      <w:r>
        <w:rPr>
          <w:rFonts w:hint="eastAsia"/>
          <w:color w:val="auto"/>
          <w:sz w:val="32"/>
          <w:szCs w:val="32"/>
        </w:rPr>
        <w:t>。</w:t>
      </w:r>
    </w:p>
    <w:p>
      <w:pPr>
        <w:spacing w:line="587" w:lineRule="exact"/>
        <w:ind w:firstLine="630"/>
        <w:rPr>
          <w:rFonts w:eastAsia="方正黑体_GBK"/>
          <w:color w:val="auto"/>
          <w:sz w:val="32"/>
          <w:szCs w:val="32"/>
        </w:rPr>
      </w:pPr>
      <w:r>
        <w:rPr>
          <w:rFonts w:hint="eastAsia" w:ascii="方正黑体_GBK" w:eastAsia="方正黑体_GBK"/>
          <w:color w:val="auto"/>
          <w:sz w:val="32"/>
          <w:szCs w:val="32"/>
        </w:rPr>
        <w:t>一</w:t>
      </w:r>
      <w:r>
        <w:rPr>
          <w:rFonts w:hint="eastAsia" w:ascii="方正仿宋_GBK" w:hAnsi="方正仿宋_GBK" w:eastAsia="方正仿宋_GBK" w:cs="方正仿宋_GBK"/>
          <w:color w:val="auto"/>
          <w:sz w:val="32"/>
          <w:szCs w:val="32"/>
        </w:rPr>
        <w:t>、</w:t>
      </w:r>
      <w:r>
        <w:rPr>
          <w:rFonts w:hint="eastAsia" w:eastAsia="方正黑体_GBK"/>
          <w:color w:val="auto"/>
          <w:sz w:val="32"/>
          <w:szCs w:val="32"/>
        </w:rPr>
        <w:t>健全</w:t>
      </w:r>
      <w:r>
        <w:rPr>
          <w:rFonts w:eastAsia="方正黑体_GBK"/>
          <w:color w:val="auto"/>
          <w:sz w:val="32"/>
          <w:szCs w:val="32"/>
        </w:rPr>
        <w:t>信用</w:t>
      </w:r>
      <w:r>
        <w:rPr>
          <w:rFonts w:hint="eastAsia" w:eastAsia="方正黑体_GBK"/>
          <w:color w:val="auto"/>
          <w:sz w:val="32"/>
          <w:szCs w:val="32"/>
        </w:rPr>
        <w:t>标准规范</w:t>
      </w:r>
      <w:r>
        <w:rPr>
          <w:rFonts w:eastAsia="方正黑体_GBK"/>
          <w:color w:val="auto"/>
          <w:sz w:val="32"/>
          <w:szCs w:val="32"/>
        </w:rPr>
        <w:t>，推进</w:t>
      </w:r>
      <w:r>
        <w:rPr>
          <w:rFonts w:hint="eastAsia" w:eastAsia="方正黑体_GBK"/>
          <w:color w:val="auto"/>
          <w:sz w:val="32"/>
          <w:szCs w:val="32"/>
        </w:rPr>
        <w:t>社会信用</w:t>
      </w:r>
      <w:r>
        <w:rPr>
          <w:rFonts w:eastAsia="方正黑体_GBK"/>
          <w:color w:val="auto"/>
          <w:sz w:val="32"/>
          <w:szCs w:val="32"/>
        </w:rPr>
        <w:t>制度化</w:t>
      </w:r>
    </w:p>
    <w:p>
      <w:pPr>
        <w:pStyle w:val="4"/>
        <w:ind w:firstLine="630"/>
        <w:rPr>
          <w:rFonts w:ascii="方正楷体_GBK" w:eastAsia="方正楷体_GBK"/>
          <w:color w:val="auto"/>
          <w:sz w:val="32"/>
          <w:szCs w:val="32"/>
        </w:rPr>
      </w:pPr>
      <w:r>
        <w:rPr>
          <w:rFonts w:hint="eastAsia"/>
          <w:color w:val="auto"/>
          <w:sz w:val="32"/>
          <w:szCs w:val="32"/>
        </w:rPr>
        <w:t>1</w:t>
      </w:r>
      <w:r>
        <w:rPr>
          <w:rFonts w:eastAsia="方正楷体_GBK"/>
          <w:color w:val="auto"/>
          <w:sz w:val="32"/>
          <w:szCs w:val="32"/>
        </w:rPr>
        <w:t>．</w:t>
      </w:r>
      <w:r>
        <w:rPr>
          <w:rFonts w:ascii="方正楷体_GBK" w:eastAsia="方正楷体_GBK"/>
          <w:color w:val="auto"/>
          <w:sz w:val="32"/>
          <w:szCs w:val="32"/>
        </w:rPr>
        <w:t>落实</w:t>
      </w:r>
      <w:r>
        <w:rPr>
          <w:rStyle w:val="24"/>
          <w:rFonts w:hint="eastAsia" w:ascii="方正楷体_GBK" w:hAnsi="Arial" w:eastAsia="方正楷体_GBK" w:cs="Arial"/>
          <w:color w:val="auto"/>
          <w:sz w:val="32"/>
          <w:szCs w:val="32"/>
        </w:rPr>
        <w:t>国家和省信用建设法规制度</w:t>
      </w:r>
      <w:r>
        <w:rPr>
          <w:rFonts w:hint="eastAsia" w:ascii="方正楷体_GBK" w:eastAsia="方正楷体_GBK"/>
          <w:color w:val="auto"/>
          <w:sz w:val="32"/>
          <w:szCs w:val="32"/>
        </w:rPr>
        <w:t>。</w:t>
      </w:r>
      <w:r>
        <w:rPr>
          <w:rFonts w:hint="eastAsia"/>
          <w:color w:val="auto"/>
          <w:kern w:val="0"/>
          <w:sz w:val="32"/>
          <w:szCs w:val="32"/>
        </w:rPr>
        <w:t>组织和</w:t>
      </w:r>
      <w:r>
        <w:rPr>
          <w:color w:val="auto"/>
          <w:kern w:val="0"/>
          <w:sz w:val="32"/>
          <w:szCs w:val="32"/>
        </w:rPr>
        <w:t>指导</w:t>
      </w:r>
      <w:r>
        <w:rPr>
          <w:rFonts w:hint="eastAsia"/>
          <w:color w:val="auto"/>
          <w:kern w:val="0"/>
          <w:sz w:val="32"/>
          <w:szCs w:val="32"/>
        </w:rPr>
        <w:t>各地各部门</w:t>
      </w:r>
      <w:r>
        <w:rPr>
          <w:color w:val="auto"/>
          <w:kern w:val="0"/>
          <w:sz w:val="32"/>
          <w:szCs w:val="32"/>
        </w:rPr>
        <w:t>做好国家一系列顶层</w:t>
      </w:r>
      <w:r>
        <w:rPr>
          <w:rFonts w:hint="eastAsia"/>
          <w:color w:val="auto"/>
          <w:kern w:val="0"/>
          <w:sz w:val="32"/>
          <w:szCs w:val="32"/>
        </w:rPr>
        <w:t>设计制度</w:t>
      </w:r>
      <w:r>
        <w:rPr>
          <w:color w:val="auto"/>
          <w:kern w:val="0"/>
          <w:sz w:val="32"/>
          <w:szCs w:val="32"/>
        </w:rPr>
        <w:t>的宣贯，</w:t>
      </w:r>
      <w:r>
        <w:rPr>
          <w:rFonts w:hint="default" w:ascii="Times New Roman" w:hAnsi="Times New Roman" w:eastAsia="方正仿宋_GBK" w:cs="Times New Roman"/>
          <w:color w:val="auto"/>
          <w:kern w:val="0"/>
          <w:sz w:val="32"/>
          <w:szCs w:val="32"/>
        </w:rPr>
        <w:t>深入贯彻落实《中共中央办公厅 国务院办公厅关于健全社会信用体系的意见》，跟踪落实好</w:t>
      </w:r>
      <w:r>
        <w:rPr>
          <w:rFonts w:hint="eastAsia"/>
          <w:color w:val="auto"/>
          <w:kern w:val="0"/>
          <w:sz w:val="32"/>
          <w:szCs w:val="32"/>
        </w:rPr>
        <w:t>融资信用服务、信用修复、公共信用信息基础目录和失信惩戒措施基础清单等政策制度。落实现行有效省地方性法规中关于信用</w:t>
      </w:r>
      <w:r>
        <w:rPr>
          <w:rFonts w:hint="eastAsia"/>
          <w:strike w:val="0"/>
          <w:dstrike w:val="0"/>
          <w:color w:val="auto"/>
          <w:kern w:val="0"/>
          <w:sz w:val="32"/>
          <w:szCs w:val="32"/>
        </w:rPr>
        <w:t>信息管理、信用评价、信用奖惩等</w:t>
      </w:r>
      <w:r>
        <w:rPr>
          <w:rFonts w:hint="eastAsia"/>
          <w:color w:val="auto"/>
          <w:kern w:val="0"/>
          <w:sz w:val="32"/>
          <w:szCs w:val="32"/>
        </w:rPr>
        <w:t>规定要求，</w:t>
      </w:r>
      <w:r>
        <w:rPr>
          <w:rStyle w:val="24"/>
          <w:rFonts w:hint="eastAsia" w:ascii="方正仿宋_GBK" w:hAnsi="Arial" w:cs="Arial"/>
          <w:color w:val="auto"/>
          <w:sz w:val="32"/>
          <w:szCs w:val="32"/>
        </w:rPr>
        <w:t>不断提升信用建设</w:t>
      </w:r>
      <w:r>
        <w:rPr>
          <w:rFonts w:hint="eastAsia"/>
          <w:color w:val="auto"/>
          <w:sz w:val="32"/>
          <w:szCs w:val="32"/>
        </w:rPr>
        <w:t>法治化</w:t>
      </w:r>
      <w:r>
        <w:rPr>
          <w:color w:val="auto"/>
          <w:sz w:val="32"/>
          <w:szCs w:val="32"/>
        </w:rPr>
        <w:t>、规范化水平</w:t>
      </w:r>
      <w:r>
        <w:rPr>
          <w:rStyle w:val="24"/>
          <w:rFonts w:hint="eastAsia" w:ascii="方正仿宋_GBK" w:hAnsi="Arial" w:cs="Arial"/>
          <w:color w:val="auto"/>
          <w:sz w:val="32"/>
          <w:szCs w:val="32"/>
        </w:rPr>
        <w:t>。</w:t>
      </w:r>
    </w:p>
    <w:p>
      <w:pPr>
        <w:spacing w:line="587" w:lineRule="exact"/>
        <w:ind w:firstLine="630"/>
        <w:rPr>
          <w:rFonts w:hint="eastAsia"/>
          <w:color w:val="auto"/>
          <w:kern w:val="0"/>
          <w:sz w:val="32"/>
          <w:szCs w:val="32"/>
        </w:rPr>
      </w:pPr>
      <w:r>
        <w:rPr>
          <w:rFonts w:hint="eastAsia"/>
          <w:color w:val="auto"/>
          <w:sz w:val="32"/>
          <w:szCs w:val="32"/>
        </w:rPr>
        <w:t>2</w:t>
      </w:r>
      <w:r>
        <w:rPr>
          <w:rFonts w:eastAsia="方正楷体_GBK"/>
          <w:color w:val="auto"/>
          <w:sz w:val="32"/>
          <w:szCs w:val="32"/>
        </w:rPr>
        <w:t>．</w:t>
      </w:r>
      <w:r>
        <w:rPr>
          <w:rFonts w:hint="eastAsia" w:ascii="方正楷体_GBK" w:eastAsia="方正楷体_GBK"/>
          <w:color w:val="auto"/>
          <w:sz w:val="32"/>
          <w:szCs w:val="32"/>
        </w:rPr>
        <w:t>制定《江苏省公共信用信息管理办法》。</w:t>
      </w:r>
      <w:r>
        <w:rPr>
          <w:rFonts w:hint="eastAsia"/>
          <w:color w:val="auto"/>
          <w:kern w:val="0"/>
          <w:sz w:val="32"/>
          <w:szCs w:val="32"/>
        </w:rPr>
        <w:t>起草</w:t>
      </w:r>
      <w:r>
        <w:rPr>
          <w:color w:val="auto"/>
          <w:kern w:val="0"/>
          <w:sz w:val="32"/>
          <w:szCs w:val="32"/>
        </w:rPr>
        <w:t>《江苏省公共信用信息管理办法》，</w:t>
      </w:r>
      <w:r>
        <w:rPr>
          <w:rFonts w:hint="eastAsia"/>
          <w:color w:val="auto"/>
          <w:kern w:val="0"/>
          <w:sz w:val="32"/>
          <w:szCs w:val="32"/>
        </w:rPr>
        <w:t>按规定做好调研论证、征求意见、集体审议，报请省政府印发实施，加强政策解读和宣贯落实。</w:t>
      </w:r>
    </w:p>
    <w:p>
      <w:pPr>
        <w:spacing w:line="587" w:lineRule="exact"/>
        <w:ind w:firstLine="630"/>
        <w:rPr>
          <w:rFonts w:ascii="方正楷体_GBK"/>
          <w:color w:val="auto"/>
          <w:sz w:val="32"/>
          <w:szCs w:val="32"/>
        </w:rPr>
      </w:pPr>
      <w:r>
        <w:rPr>
          <w:rFonts w:hint="default" w:ascii="Times New Roman" w:eastAsia="方正楷体_GBK"/>
          <w:color w:val="auto"/>
          <w:sz w:val="32"/>
          <w:szCs w:val="32"/>
        </w:rPr>
        <w:t>3</w:t>
      </w:r>
      <w:r>
        <w:rPr>
          <w:rFonts w:eastAsia="方正楷体_GBK"/>
          <w:color w:val="auto"/>
          <w:sz w:val="32"/>
          <w:szCs w:val="32"/>
        </w:rPr>
        <w:t>．</w:t>
      </w:r>
      <w:r>
        <w:rPr>
          <w:rFonts w:hint="eastAsia" w:eastAsia="方正楷体_GBK"/>
          <w:color w:val="auto"/>
          <w:sz w:val="32"/>
          <w:szCs w:val="32"/>
        </w:rPr>
        <w:t>加强行业信用制度建设。</w:t>
      </w:r>
      <w:r>
        <w:rPr>
          <w:rFonts w:hint="eastAsia" w:ascii="方正仿宋_GBK"/>
          <w:color w:val="auto"/>
          <w:sz w:val="32"/>
          <w:szCs w:val="32"/>
        </w:rPr>
        <w:t>夯实行业领域信用管理部门履行行业信用监管的主体责任，全面落实党中央、国务院和国家相关部门关于行业信用体系建设的部署要求。省有关部门科学制定全省统一</w:t>
      </w:r>
      <w:r>
        <w:rPr>
          <w:rFonts w:hint="eastAsia"/>
          <w:color w:val="auto"/>
          <w:sz w:val="32"/>
          <w:szCs w:val="32"/>
        </w:rPr>
        <w:t>的行业</w:t>
      </w:r>
      <w:r>
        <w:rPr>
          <w:rFonts w:hint="eastAsia" w:ascii="方正仿宋_GBK"/>
          <w:color w:val="auto"/>
          <w:sz w:val="32"/>
          <w:szCs w:val="32"/>
        </w:rPr>
        <w:t>信用评价、</w:t>
      </w:r>
      <w:r>
        <w:rPr>
          <w:rFonts w:hint="eastAsia"/>
          <w:color w:val="auto"/>
          <w:sz w:val="32"/>
          <w:szCs w:val="32"/>
        </w:rPr>
        <w:t>失信行为</w:t>
      </w:r>
      <w:r>
        <w:rPr>
          <w:rFonts w:hint="eastAsia" w:ascii="方正仿宋_GBK"/>
          <w:color w:val="auto"/>
          <w:sz w:val="32"/>
          <w:szCs w:val="32"/>
        </w:rPr>
        <w:t>认定标准，合规合理开展行业信用评价、认定失信行为</w:t>
      </w:r>
      <w:r>
        <w:rPr>
          <w:rFonts w:hint="eastAsia"/>
          <w:color w:val="auto"/>
          <w:sz w:val="32"/>
          <w:szCs w:val="32"/>
        </w:rPr>
        <w:t>。</w:t>
      </w:r>
    </w:p>
    <w:p>
      <w:pPr>
        <w:spacing w:line="587" w:lineRule="exact"/>
        <w:ind w:firstLine="630"/>
        <w:rPr>
          <w:strike w:val="0"/>
          <w:color w:val="auto"/>
          <w:sz w:val="32"/>
          <w:szCs w:val="32"/>
        </w:rPr>
      </w:pPr>
      <w:r>
        <w:rPr>
          <w:rFonts w:hint="eastAsia"/>
          <w:strike w:val="0"/>
          <w:color w:val="auto"/>
          <w:sz w:val="32"/>
          <w:szCs w:val="32"/>
        </w:rPr>
        <w:t>4</w:t>
      </w:r>
      <w:r>
        <w:rPr>
          <w:rFonts w:eastAsia="方正楷体_GBK"/>
          <w:strike w:val="0"/>
          <w:color w:val="auto"/>
          <w:sz w:val="32"/>
          <w:szCs w:val="32"/>
        </w:rPr>
        <w:t>．</w:t>
      </w:r>
      <w:r>
        <w:rPr>
          <w:rFonts w:hint="eastAsia" w:ascii="方正楷体_GBK" w:eastAsia="方正楷体_GBK"/>
          <w:strike w:val="0"/>
          <w:color w:val="auto"/>
          <w:sz w:val="32"/>
          <w:szCs w:val="32"/>
        </w:rPr>
        <w:t>健全信用规范标准体系。</w:t>
      </w:r>
      <w:r>
        <w:rPr>
          <w:strike w:val="0"/>
          <w:color w:val="auto"/>
          <w:sz w:val="32"/>
          <w:szCs w:val="32"/>
        </w:rPr>
        <w:t>根据</w:t>
      </w:r>
      <w:r>
        <w:rPr>
          <w:rFonts w:hint="eastAsia"/>
          <w:strike w:val="0"/>
          <w:color w:val="auto"/>
          <w:sz w:val="32"/>
          <w:szCs w:val="32"/>
        </w:rPr>
        <w:t>全国公共</w:t>
      </w:r>
      <w:r>
        <w:rPr>
          <w:strike w:val="0"/>
          <w:color w:val="auto"/>
          <w:sz w:val="32"/>
          <w:szCs w:val="32"/>
        </w:rPr>
        <w:t>信用信息</w:t>
      </w:r>
      <w:r>
        <w:rPr>
          <w:rFonts w:hint="eastAsia"/>
          <w:strike w:val="0"/>
          <w:color w:val="auto"/>
          <w:sz w:val="32"/>
          <w:szCs w:val="32"/>
        </w:rPr>
        <w:t>基础</w:t>
      </w:r>
      <w:r>
        <w:rPr>
          <w:strike w:val="0"/>
          <w:color w:val="auto"/>
          <w:sz w:val="32"/>
          <w:szCs w:val="32"/>
        </w:rPr>
        <w:t>目录、</w:t>
      </w:r>
      <w:r>
        <w:rPr>
          <w:rFonts w:hint="eastAsia"/>
          <w:strike w:val="0"/>
          <w:color w:val="auto"/>
          <w:sz w:val="32"/>
          <w:szCs w:val="32"/>
        </w:rPr>
        <w:t>省公共</w:t>
      </w:r>
      <w:r>
        <w:rPr>
          <w:strike w:val="0"/>
          <w:color w:val="auto"/>
          <w:sz w:val="32"/>
          <w:szCs w:val="32"/>
        </w:rPr>
        <w:t>信用信息</w:t>
      </w:r>
      <w:r>
        <w:rPr>
          <w:rFonts w:hint="eastAsia"/>
          <w:strike w:val="0"/>
          <w:color w:val="auto"/>
          <w:sz w:val="32"/>
          <w:szCs w:val="32"/>
        </w:rPr>
        <w:t>补充目录和各</w:t>
      </w:r>
      <w:r>
        <w:rPr>
          <w:strike w:val="0"/>
          <w:color w:val="auto"/>
          <w:sz w:val="32"/>
          <w:szCs w:val="32"/>
        </w:rPr>
        <w:t>部门权力事项</w:t>
      </w:r>
      <w:r>
        <w:rPr>
          <w:rFonts w:hint="eastAsia"/>
          <w:strike w:val="0"/>
          <w:color w:val="auto"/>
          <w:sz w:val="32"/>
          <w:szCs w:val="32"/>
        </w:rPr>
        <w:t>清单，结合信用信息</w:t>
      </w:r>
      <w:r>
        <w:rPr>
          <w:strike w:val="0"/>
          <w:color w:val="auto"/>
          <w:sz w:val="32"/>
          <w:szCs w:val="32"/>
        </w:rPr>
        <w:t>共享应用需求，</w:t>
      </w:r>
      <w:r>
        <w:rPr>
          <w:rFonts w:hint="eastAsia"/>
          <w:strike w:val="0"/>
          <w:color w:val="auto"/>
          <w:sz w:val="32"/>
          <w:szCs w:val="32"/>
        </w:rPr>
        <w:t>组织制定公共信用信息归集规范。</w:t>
      </w:r>
    </w:p>
    <w:p>
      <w:pPr>
        <w:spacing w:line="587" w:lineRule="exact"/>
        <w:ind w:firstLine="630"/>
        <w:rPr>
          <w:rFonts w:ascii="方正黑体_GBK" w:eastAsia="方正黑体_GBK"/>
          <w:color w:val="auto"/>
          <w:sz w:val="32"/>
          <w:szCs w:val="32"/>
        </w:rPr>
      </w:pPr>
      <w:r>
        <w:rPr>
          <w:rFonts w:hint="eastAsia" w:ascii="方正黑体_GBK" w:eastAsia="方正黑体_GBK"/>
          <w:color w:val="auto"/>
          <w:sz w:val="32"/>
          <w:szCs w:val="32"/>
          <w:lang w:eastAsia="zh-CN"/>
        </w:rPr>
        <w:t>二</w:t>
      </w:r>
      <w:r>
        <w:rPr>
          <w:rFonts w:hint="eastAsia" w:ascii="方正仿宋_GBK" w:hAnsi="方正仿宋_GBK" w:eastAsia="方正仿宋_GBK" w:cs="方正仿宋_GBK"/>
          <w:color w:val="auto"/>
          <w:sz w:val="32"/>
          <w:szCs w:val="32"/>
        </w:rPr>
        <w:t>、</w:t>
      </w:r>
      <w:r>
        <w:rPr>
          <w:rFonts w:hint="eastAsia" w:ascii="方正黑体_GBK" w:eastAsia="方正黑体_GBK"/>
          <w:color w:val="auto"/>
          <w:sz w:val="32"/>
          <w:szCs w:val="32"/>
        </w:rPr>
        <w:t>推进新型监管机制，提升信用监管效能</w:t>
      </w:r>
    </w:p>
    <w:p>
      <w:pPr>
        <w:spacing w:line="587" w:lineRule="exact"/>
        <w:ind w:firstLine="630"/>
        <w:rPr>
          <w:rFonts w:eastAsia="方正楷体_GBK"/>
          <w:strike/>
          <w:color w:val="auto"/>
          <w:sz w:val="32"/>
          <w:szCs w:val="32"/>
        </w:rPr>
      </w:pPr>
      <w:r>
        <w:rPr>
          <w:rFonts w:hint="eastAsia" w:eastAsia="方正楷体_GBK"/>
          <w:color w:val="auto"/>
          <w:sz w:val="32"/>
          <w:szCs w:val="32"/>
          <w:lang w:val="en-US" w:eastAsia="zh-CN"/>
        </w:rPr>
        <w:t>5</w:t>
      </w:r>
      <w:r>
        <w:rPr>
          <w:rFonts w:eastAsia="方正楷体_GBK"/>
          <w:color w:val="auto"/>
          <w:sz w:val="32"/>
          <w:szCs w:val="32"/>
        </w:rPr>
        <w:t>．</w:t>
      </w:r>
      <w:r>
        <w:rPr>
          <w:rFonts w:hint="eastAsia" w:eastAsia="方正楷体_GBK"/>
          <w:color w:val="auto"/>
          <w:sz w:val="32"/>
          <w:szCs w:val="32"/>
        </w:rPr>
        <w:t>推动信用信息依职权查询。</w:t>
      </w:r>
      <w:r>
        <w:rPr>
          <w:color w:val="auto"/>
          <w:sz w:val="32"/>
          <w:szCs w:val="32"/>
        </w:rPr>
        <w:t>为政府部门提供全方位多层次的信息</w:t>
      </w:r>
      <w:r>
        <w:rPr>
          <w:rFonts w:hint="eastAsia"/>
          <w:color w:val="auto"/>
          <w:sz w:val="32"/>
          <w:szCs w:val="32"/>
        </w:rPr>
        <w:t>查询</w:t>
      </w:r>
      <w:r>
        <w:rPr>
          <w:color w:val="auto"/>
          <w:sz w:val="32"/>
          <w:szCs w:val="32"/>
        </w:rPr>
        <w:t>服务</w:t>
      </w:r>
      <w:r>
        <w:rPr>
          <w:rFonts w:hint="eastAsia"/>
          <w:strike w:val="0"/>
          <w:color w:val="auto"/>
          <w:sz w:val="32"/>
          <w:szCs w:val="32"/>
        </w:rPr>
        <w:t>，</w:t>
      </w:r>
      <w:r>
        <w:rPr>
          <w:rFonts w:hint="eastAsia"/>
          <w:strike w:val="0"/>
          <w:color w:val="auto"/>
          <w:sz w:val="32"/>
          <w:szCs w:val="32"/>
          <w:lang w:val="en-US" w:eastAsia="zh-CN"/>
        </w:rPr>
        <w:t>做好</w:t>
      </w:r>
      <w:r>
        <w:rPr>
          <w:strike w:val="0"/>
          <w:color w:val="auto"/>
          <w:sz w:val="32"/>
          <w:szCs w:val="32"/>
        </w:rPr>
        <w:t>信息推送、批量审查、单笔查询、接口调用等信息服务</w:t>
      </w:r>
      <w:r>
        <w:rPr>
          <w:color w:val="auto"/>
          <w:sz w:val="32"/>
          <w:szCs w:val="32"/>
        </w:rPr>
        <w:t>。</w:t>
      </w:r>
      <w:r>
        <w:rPr>
          <w:rFonts w:hint="eastAsia"/>
          <w:color w:val="auto"/>
          <w:sz w:val="32"/>
          <w:szCs w:val="32"/>
        </w:rPr>
        <w:t>推动</w:t>
      </w:r>
      <w:r>
        <w:rPr>
          <w:rFonts w:hint="eastAsia" w:ascii="方正仿宋_GBK"/>
          <w:color w:val="auto"/>
          <w:sz w:val="32"/>
          <w:szCs w:val="32"/>
        </w:rPr>
        <w:t>省级部门在财政资金使用、评优评先、项目安排等事项中应查尽查，实现全省信用审查覆盖面和质量进一步提升。</w:t>
      </w:r>
    </w:p>
    <w:p>
      <w:pPr>
        <w:spacing w:line="587" w:lineRule="exact"/>
        <w:ind w:firstLine="630"/>
        <w:rPr>
          <w:rFonts w:ascii="方正仿宋_GBK" w:hAnsi="方正仿宋_GBK" w:cs="方正仿宋_GBK"/>
          <w:color w:val="auto"/>
          <w:sz w:val="32"/>
          <w:szCs w:val="32"/>
        </w:rPr>
      </w:pPr>
      <w:r>
        <w:rPr>
          <w:rFonts w:hint="default" w:ascii="Times New Roman" w:eastAsia="方正楷体_GBK"/>
          <w:color w:val="auto"/>
          <w:sz w:val="32"/>
          <w:szCs w:val="32"/>
          <w:lang w:val="en-US" w:eastAsia="zh-CN"/>
        </w:rPr>
        <w:t>6</w:t>
      </w:r>
      <w:r>
        <w:rPr>
          <w:rFonts w:eastAsia="方正楷体_GBK"/>
          <w:color w:val="auto"/>
          <w:sz w:val="32"/>
          <w:szCs w:val="32"/>
        </w:rPr>
        <w:t>．</w:t>
      </w:r>
      <w:r>
        <w:rPr>
          <w:rFonts w:hint="eastAsia" w:ascii="方正楷体_GBK" w:eastAsia="方正楷体_GBK"/>
          <w:color w:val="auto"/>
          <w:sz w:val="32"/>
          <w:szCs w:val="32"/>
        </w:rPr>
        <w:t>实施</w:t>
      </w:r>
      <w:r>
        <w:rPr>
          <w:rFonts w:ascii="方正楷体_GBK" w:eastAsia="方正楷体_GBK"/>
          <w:color w:val="auto"/>
          <w:sz w:val="32"/>
          <w:szCs w:val="32"/>
        </w:rPr>
        <w:t>信用承诺</w:t>
      </w:r>
      <w:r>
        <w:rPr>
          <w:rFonts w:hint="eastAsia" w:ascii="方正楷体_GBK" w:eastAsia="方正楷体_GBK"/>
          <w:color w:val="auto"/>
          <w:sz w:val="32"/>
          <w:szCs w:val="32"/>
        </w:rPr>
        <w:t>闭环管理。</w:t>
      </w:r>
      <w:r>
        <w:rPr>
          <w:rFonts w:hint="eastAsia" w:ascii="方正仿宋_GBK" w:hAnsi="方正仿宋_GBK" w:cs="方正仿宋_GBK"/>
          <w:color w:val="auto"/>
          <w:sz w:val="32"/>
          <w:szCs w:val="32"/>
        </w:rPr>
        <w:t>进一步在行政管理和公共服务中推行信用承诺制</w:t>
      </w:r>
      <w:r>
        <w:rPr>
          <w:rFonts w:hint="eastAsia" w:ascii="方正仿宋_GBK" w:hAnsi="方正仿宋_GBK" w:cs="方正仿宋_GBK"/>
          <w:strike w:val="0"/>
          <w:color w:val="auto"/>
          <w:sz w:val="32"/>
          <w:szCs w:val="32"/>
        </w:rPr>
        <w:t>，</w:t>
      </w:r>
      <w:r>
        <w:rPr>
          <w:rFonts w:ascii="方正仿宋_GBK" w:hAnsi="方正仿宋_GBK" w:cs="方正仿宋_GBK"/>
          <w:strike w:val="0"/>
          <w:color w:val="auto"/>
          <w:sz w:val="32"/>
          <w:szCs w:val="32"/>
        </w:rPr>
        <w:t>引导行政相对人</w:t>
      </w:r>
      <w:r>
        <w:rPr>
          <w:rFonts w:hint="eastAsia" w:ascii="方正仿宋_GBK" w:hAnsi="方正仿宋_GBK" w:cs="方正仿宋_GBK"/>
          <w:strike w:val="0"/>
          <w:color w:val="auto"/>
          <w:sz w:val="32"/>
          <w:szCs w:val="32"/>
        </w:rPr>
        <w:t>等信用主体</w:t>
      </w:r>
      <w:r>
        <w:rPr>
          <w:rFonts w:ascii="方正仿宋_GBK" w:hAnsi="方正仿宋_GBK" w:cs="方正仿宋_GBK"/>
          <w:strike w:val="0"/>
          <w:color w:val="auto"/>
          <w:sz w:val="32"/>
          <w:szCs w:val="32"/>
        </w:rPr>
        <w:t>诚信自律</w:t>
      </w:r>
      <w:r>
        <w:rPr>
          <w:rFonts w:hint="eastAsia" w:ascii="方正仿宋_GBK" w:hAnsi="方正仿宋_GBK" w:eastAsia="方正仿宋_GBK" w:cs="方正仿宋_GBK"/>
          <w:strike w:val="0"/>
          <w:color w:val="auto"/>
          <w:sz w:val="32"/>
          <w:szCs w:val="32"/>
        </w:rPr>
        <w:t>，主动向社会作出信用承诺</w:t>
      </w:r>
      <w:r>
        <w:rPr>
          <w:rFonts w:hint="eastAsia" w:ascii="方正仿宋_GBK" w:hAnsi="方正仿宋_GBK" w:cs="方正仿宋_GBK"/>
          <w:strike w:val="0"/>
          <w:color w:val="auto"/>
          <w:sz w:val="32"/>
          <w:szCs w:val="32"/>
        </w:rPr>
        <w:t>，以信用承诺减少或者替代</w:t>
      </w:r>
      <w:r>
        <w:rPr>
          <w:rFonts w:ascii="方正仿宋_GBK" w:hAnsi="方正仿宋_GBK" w:cs="方正仿宋_GBK"/>
          <w:strike w:val="0"/>
          <w:color w:val="auto"/>
          <w:sz w:val="32"/>
          <w:szCs w:val="32"/>
        </w:rPr>
        <w:t>证明材料</w:t>
      </w:r>
      <w:r>
        <w:rPr>
          <w:rFonts w:hint="eastAsia" w:ascii="方正仿宋_GBK" w:hAnsi="方正仿宋_GBK" w:cs="方正仿宋_GBK"/>
          <w:strike w:val="0"/>
          <w:color w:val="auto"/>
          <w:sz w:val="32"/>
          <w:szCs w:val="32"/>
        </w:rPr>
        <w:t>，</w:t>
      </w:r>
      <w:r>
        <w:rPr>
          <w:rFonts w:ascii="方正仿宋_GBK" w:hAnsi="方正仿宋_GBK" w:cs="方正仿宋_GBK"/>
          <w:strike w:val="0"/>
          <w:color w:val="auto"/>
          <w:sz w:val="32"/>
          <w:szCs w:val="32"/>
        </w:rPr>
        <w:t>简化审批程序</w:t>
      </w:r>
      <w:r>
        <w:rPr>
          <w:rFonts w:hint="eastAsia" w:ascii="方正仿宋_GBK" w:hAnsi="方正仿宋_GBK" w:cs="方正仿宋_GBK"/>
          <w:strike w:val="0"/>
          <w:color w:val="auto"/>
          <w:sz w:val="32"/>
          <w:szCs w:val="32"/>
        </w:rPr>
        <w:t>，替代各类保证金，提升行政效率和水平</w:t>
      </w:r>
      <w:r>
        <w:rPr>
          <w:rFonts w:hint="eastAsia" w:ascii="方正仿宋_GBK" w:hAnsi="方正仿宋_GBK" w:cs="方正仿宋_GBK"/>
          <w:color w:val="auto"/>
          <w:sz w:val="32"/>
          <w:szCs w:val="32"/>
        </w:rPr>
        <w:t>。加强信用承诺闭环管理，将市场主体履行承诺情况全面纳入信用记录，作为事中事后监管的重要依据，为履行承诺的市场主体提供便利措施，对作出虚假承诺或不履行承诺的市场主体依法实施失信约束措施，一定条件下不再适用承诺制。</w:t>
      </w:r>
    </w:p>
    <w:p>
      <w:pPr>
        <w:spacing w:line="587" w:lineRule="exact"/>
        <w:ind w:firstLine="630"/>
        <w:rPr>
          <w:rFonts w:eastAsia="方正楷体_GBK"/>
          <w:color w:val="auto"/>
          <w:sz w:val="32"/>
          <w:szCs w:val="32"/>
        </w:rPr>
      </w:pPr>
      <w:r>
        <w:rPr>
          <w:rFonts w:hint="default" w:ascii="Times New Roman" w:eastAsia="方正楷体_GBK"/>
          <w:color w:val="auto"/>
          <w:sz w:val="32"/>
          <w:szCs w:val="32"/>
          <w:lang w:val="en-US" w:eastAsia="zh-CN"/>
        </w:rPr>
        <w:t>7</w:t>
      </w:r>
      <w:r>
        <w:rPr>
          <w:rFonts w:ascii="方正楷体_GBK" w:eastAsia="方正楷体_GBK"/>
          <w:color w:val="auto"/>
          <w:sz w:val="32"/>
          <w:szCs w:val="32"/>
        </w:rPr>
        <w:t>．</w:t>
      </w:r>
      <w:r>
        <w:rPr>
          <w:rFonts w:hint="eastAsia" w:eastAsia="方正楷体_GBK"/>
          <w:color w:val="auto"/>
          <w:sz w:val="32"/>
          <w:szCs w:val="32"/>
        </w:rPr>
        <w:t>强化</w:t>
      </w:r>
      <w:r>
        <w:rPr>
          <w:rFonts w:ascii="方正楷体_GBK" w:eastAsia="方正楷体_GBK"/>
          <w:color w:val="auto"/>
          <w:sz w:val="32"/>
          <w:szCs w:val="32"/>
        </w:rPr>
        <w:t>信用分级分类监管</w:t>
      </w:r>
      <w:r>
        <w:rPr>
          <w:rFonts w:hint="eastAsia" w:ascii="方正楷体_GBK" w:eastAsia="方正楷体_GBK"/>
          <w:color w:val="auto"/>
          <w:sz w:val="32"/>
          <w:szCs w:val="32"/>
        </w:rPr>
        <w:t>。</w:t>
      </w:r>
      <w:r>
        <w:rPr>
          <w:rFonts w:hint="eastAsia"/>
          <w:color w:val="auto"/>
          <w:sz w:val="32"/>
          <w:szCs w:val="32"/>
        </w:rPr>
        <w:t>向各地各部门推广、提供全国公共信用综合评价结果查询和调用服务，推动相关部门将评价结果作为行业领域分级分类监管的参考，</w:t>
      </w:r>
      <w:r>
        <w:rPr>
          <w:rFonts w:hint="eastAsia"/>
          <w:strike w:val="0"/>
          <w:dstrike w:val="0"/>
          <w:color w:val="auto"/>
          <w:sz w:val="32"/>
          <w:szCs w:val="32"/>
        </w:rPr>
        <w:t>逐步形成以公共信用综合评价为基础、以行业信用评价为重点的企业信用状况综合评价体系，</w:t>
      </w:r>
      <w:r>
        <w:rPr>
          <w:rFonts w:hint="eastAsia"/>
          <w:color w:val="auto"/>
          <w:sz w:val="32"/>
          <w:szCs w:val="32"/>
        </w:rPr>
        <w:t>为建立健全行业、领域分级分类监管机制提供支撑。</w:t>
      </w:r>
      <w:r>
        <w:rPr>
          <w:rFonts w:hint="eastAsia" w:ascii="Times New Roman" w:hAnsi="Times New Roman" w:eastAsia="方正仿宋_GBK" w:cs="Times New Roman"/>
          <w:color w:val="auto"/>
          <w:sz w:val="32"/>
          <w:szCs w:val="32"/>
        </w:rPr>
        <w:t>结合实际</w:t>
      </w:r>
      <w:r>
        <w:rPr>
          <w:color w:val="auto"/>
          <w:sz w:val="32"/>
          <w:szCs w:val="32"/>
        </w:rPr>
        <w:t>开</w:t>
      </w:r>
      <w:r>
        <w:rPr>
          <w:rFonts w:hint="eastAsia" w:ascii="Times New Roman"/>
          <w:color w:val="auto"/>
          <w:sz w:val="32"/>
          <w:szCs w:val="32"/>
        </w:rPr>
        <w:t>展高频</w:t>
      </w:r>
      <w:r>
        <w:rPr>
          <w:color w:val="auto"/>
          <w:sz w:val="32"/>
          <w:szCs w:val="32"/>
        </w:rPr>
        <w:t>违法失信行为治理</w:t>
      </w:r>
      <w:r>
        <w:rPr>
          <w:rFonts w:hint="eastAsia"/>
          <w:color w:val="auto"/>
          <w:sz w:val="32"/>
          <w:szCs w:val="32"/>
        </w:rPr>
        <w:t>，推动严重失信主体名单有序退出，合理压降失信占比</w:t>
      </w:r>
      <w:r>
        <w:rPr>
          <w:color w:val="auto"/>
          <w:sz w:val="32"/>
          <w:szCs w:val="32"/>
        </w:rPr>
        <w:t>。</w:t>
      </w:r>
    </w:p>
    <w:p>
      <w:pPr>
        <w:spacing w:line="587" w:lineRule="exact"/>
        <w:ind w:firstLine="630"/>
        <w:rPr>
          <w:rFonts w:eastAsia="方正楷体_GBK"/>
          <w:color w:val="auto"/>
          <w:sz w:val="32"/>
          <w:szCs w:val="32"/>
        </w:rPr>
      </w:pPr>
      <w:r>
        <w:rPr>
          <w:rFonts w:hint="eastAsia" w:eastAsia="方正楷体_GBK"/>
          <w:color w:val="auto"/>
          <w:sz w:val="32"/>
          <w:szCs w:val="32"/>
          <w:lang w:val="en-US" w:eastAsia="zh-CN"/>
        </w:rPr>
        <w:t>8</w:t>
      </w:r>
      <w:r>
        <w:rPr>
          <w:rFonts w:eastAsia="方正楷体_GBK"/>
          <w:color w:val="auto"/>
          <w:sz w:val="32"/>
          <w:szCs w:val="32"/>
        </w:rPr>
        <w:t>．</w:t>
      </w:r>
      <w:r>
        <w:rPr>
          <w:rFonts w:hint="eastAsia" w:eastAsia="方正楷体_GBK"/>
          <w:color w:val="auto"/>
          <w:sz w:val="32"/>
          <w:szCs w:val="32"/>
        </w:rPr>
        <w:t>推动基层治理信用体系建设</w:t>
      </w:r>
      <w:r>
        <w:rPr>
          <w:rFonts w:hint="eastAsia" w:ascii="Times New Roman" w:hAnsi="Times New Roman" w:eastAsia="方正楷体_GBK" w:cs="Times New Roman"/>
          <w:color w:val="auto"/>
          <w:sz w:val="32"/>
          <w:szCs w:val="32"/>
        </w:rPr>
        <w:t>。</w:t>
      </w:r>
      <w:r>
        <w:rPr>
          <w:color w:val="auto"/>
          <w:sz w:val="32"/>
          <w:szCs w:val="32"/>
        </w:rPr>
        <w:t>支持各地</w:t>
      </w:r>
      <w:r>
        <w:rPr>
          <w:rFonts w:hint="eastAsia"/>
          <w:color w:val="auto"/>
          <w:sz w:val="32"/>
          <w:szCs w:val="32"/>
        </w:rPr>
        <w:t>结合地区特点，依托镇（街）、村（社区）网格管理，探索推行信用积分管理，推广“信用+村规民约”“信用+契约管理”，推动信用信息在矛盾调解、环境整治、安全生产等治理场景精准应用</w:t>
      </w:r>
      <w:r>
        <w:rPr>
          <w:rFonts w:hint="eastAsia"/>
          <w:color w:val="auto"/>
          <w:sz w:val="32"/>
          <w:szCs w:val="32"/>
          <w:lang w:eastAsia="zh-CN"/>
        </w:rPr>
        <w:t>。</w:t>
      </w:r>
      <w:r>
        <w:rPr>
          <w:rFonts w:hint="eastAsia"/>
          <w:color w:val="auto"/>
          <w:sz w:val="32"/>
          <w:szCs w:val="32"/>
        </w:rPr>
        <w:t>充分发挥</w:t>
      </w:r>
      <w:r>
        <w:rPr>
          <w:color w:val="auto"/>
          <w:sz w:val="32"/>
          <w:szCs w:val="32"/>
        </w:rPr>
        <w:t>信用信息正向激励作用，降低基层社会治理成本，提升治理成效</w:t>
      </w:r>
      <w:r>
        <w:rPr>
          <w:rFonts w:hint="eastAsia"/>
          <w:color w:val="auto"/>
          <w:sz w:val="32"/>
          <w:szCs w:val="32"/>
          <w:lang w:eastAsia="zh-CN"/>
        </w:rPr>
        <w:t>，</w:t>
      </w:r>
      <w:r>
        <w:rPr>
          <w:rFonts w:hint="eastAsia"/>
          <w:color w:val="auto"/>
          <w:sz w:val="32"/>
          <w:szCs w:val="32"/>
        </w:rPr>
        <w:t>拓展</w:t>
      </w:r>
      <w:r>
        <w:rPr>
          <w:color w:val="auto"/>
          <w:sz w:val="32"/>
          <w:szCs w:val="32"/>
        </w:rPr>
        <w:t>一批可观、可感、可及的</w:t>
      </w:r>
      <w:r>
        <w:rPr>
          <w:rFonts w:hint="eastAsia"/>
          <w:color w:val="auto"/>
          <w:sz w:val="32"/>
          <w:szCs w:val="32"/>
        </w:rPr>
        <w:t>基层社会治理场景。</w:t>
      </w:r>
    </w:p>
    <w:p>
      <w:pPr>
        <w:spacing w:line="587" w:lineRule="exact"/>
        <w:ind w:firstLine="630"/>
        <w:rPr>
          <w:rFonts w:ascii="方正黑体_GBK" w:eastAsia="方正黑体_GBK"/>
          <w:color w:val="auto"/>
          <w:sz w:val="32"/>
          <w:szCs w:val="32"/>
        </w:rPr>
      </w:pPr>
      <w:r>
        <w:rPr>
          <w:rFonts w:hint="eastAsia" w:ascii="方正黑体_GBK" w:eastAsia="方正黑体_GBK"/>
          <w:color w:val="auto"/>
          <w:sz w:val="32"/>
          <w:szCs w:val="32"/>
          <w:lang w:eastAsia="zh-CN"/>
        </w:rPr>
        <w:t>三</w:t>
      </w:r>
      <w:r>
        <w:rPr>
          <w:rFonts w:hint="eastAsia" w:ascii="方正仿宋_GBK" w:hAnsi="方正仿宋_GBK" w:eastAsia="方正仿宋_GBK" w:cs="方正仿宋_GBK"/>
          <w:color w:val="auto"/>
          <w:sz w:val="32"/>
          <w:szCs w:val="32"/>
        </w:rPr>
        <w:t>、</w:t>
      </w:r>
      <w:r>
        <w:rPr>
          <w:rFonts w:ascii="方正黑体_GBK" w:eastAsia="方正黑体_GBK"/>
          <w:color w:val="auto"/>
          <w:sz w:val="32"/>
          <w:szCs w:val="32"/>
        </w:rPr>
        <w:t>拓展信用服务场景</w:t>
      </w:r>
      <w:r>
        <w:rPr>
          <w:rFonts w:hint="eastAsia" w:ascii="方正黑体_GBK" w:eastAsia="方正黑体_GBK"/>
          <w:color w:val="auto"/>
          <w:sz w:val="32"/>
          <w:szCs w:val="32"/>
        </w:rPr>
        <w:t>，推动信用惠民便企</w:t>
      </w:r>
    </w:p>
    <w:p>
      <w:pPr>
        <w:spacing w:line="587" w:lineRule="exact"/>
        <w:ind w:firstLine="630"/>
        <w:rPr>
          <w:rFonts w:ascii="方正仿宋_GBK"/>
          <w:color w:val="auto"/>
          <w:sz w:val="32"/>
          <w:szCs w:val="32"/>
        </w:rPr>
      </w:pPr>
      <w:r>
        <w:rPr>
          <w:rFonts w:hint="eastAsia" w:eastAsia="方正楷体_GBK"/>
          <w:color w:val="auto"/>
          <w:sz w:val="32"/>
          <w:szCs w:val="32"/>
          <w:lang w:val="en-US" w:eastAsia="zh-CN"/>
        </w:rPr>
        <w:t>9</w:t>
      </w:r>
      <w:r>
        <w:rPr>
          <w:rFonts w:eastAsia="方正楷体_GBK"/>
          <w:color w:val="auto"/>
          <w:sz w:val="32"/>
          <w:szCs w:val="32"/>
        </w:rPr>
        <w:t>．</w:t>
      </w:r>
      <w:r>
        <w:rPr>
          <w:rFonts w:hint="eastAsia" w:ascii="方正楷体_GBK" w:eastAsia="方正楷体_GBK"/>
          <w:color w:val="auto"/>
          <w:sz w:val="32"/>
          <w:szCs w:val="32"/>
        </w:rPr>
        <w:t>创新“</w:t>
      </w:r>
      <w:r>
        <w:rPr>
          <w:rFonts w:ascii="方正楷体_GBK" w:eastAsia="方正楷体_GBK"/>
          <w:color w:val="auto"/>
          <w:sz w:val="32"/>
          <w:szCs w:val="32"/>
        </w:rPr>
        <w:t>信易贷</w:t>
      </w:r>
      <w:r>
        <w:rPr>
          <w:rFonts w:hint="eastAsia" w:ascii="方正楷体_GBK" w:eastAsia="方正楷体_GBK"/>
          <w:color w:val="auto"/>
          <w:sz w:val="32"/>
          <w:szCs w:val="32"/>
        </w:rPr>
        <w:t>”</w:t>
      </w:r>
      <w:r>
        <w:rPr>
          <w:rFonts w:ascii="方正楷体_GBK" w:eastAsia="方正楷体_GBK"/>
          <w:color w:val="auto"/>
          <w:sz w:val="32"/>
          <w:szCs w:val="32"/>
        </w:rPr>
        <w:t>产品</w:t>
      </w:r>
      <w:r>
        <w:rPr>
          <w:rFonts w:hint="eastAsia" w:ascii="方正楷体_GBK" w:eastAsia="方正楷体_GBK"/>
          <w:color w:val="auto"/>
          <w:sz w:val="32"/>
          <w:szCs w:val="32"/>
        </w:rPr>
        <w:t>。</w:t>
      </w:r>
      <w:r>
        <w:rPr>
          <w:rFonts w:hint="eastAsia" w:ascii="方正仿宋_GBK"/>
          <w:color w:val="auto"/>
          <w:sz w:val="32"/>
          <w:szCs w:val="32"/>
        </w:rPr>
        <w:t>进一步完善全国融资信用服务平台省级节点功能。充分发挥省内各融资信用服务平台的积极作用，创新“信易贷”专项产品，为企业融资提供便利化和个性化服务，提升企业获贷率，降低融资成本。支持银行业金融机构与融资信用服务平台深度合作，联合建模并推出可通过平台实现全流程在线放款的信贷产品。支持各地举办“信易贷”推介活动，深化政银企对接，扩大融资信用服务覆盖面。</w:t>
      </w:r>
    </w:p>
    <w:p>
      <w:pPr>
        <w:spacing w:line="587" w:lineRule="exact"/>
        <w:ind w:firstLine="630"/>
        <w:rPr>
          <w:color w:val="auto"/>
          <w:sz w:val="32"/>
          <w:szCs w:val="32"/>
        </w:rPr>
      </w:pPr>
      <w:r>
        <w:rPr>
          <w:rFonts w:hint="eastAsia" w:eastAsia="方正楷体_GBK"/>
          <w:color w:val="auto"/>
          <w:sz w:val="32"/>
          <w:szCs w:val="32"/>
          <w:lang w:val="en-US" w:eastAsia="zh-CN"/>
        </w:rPr>
        <w:t>10</w:t>
      </w:r>
      <w:r>
        <w:rPr>
          <w:rFonts w:eastAsia="方正楷体_GBK"/>
          <w:color w:val="auto"/>
          <w:sz w:val="32"/>
          <w:szCs w:val="32"/>
        </w:rPr>
        <w:t>．</w:t>
      </w:r>
      <w:r>
        <w:rPr>
          <w:rFonts w:hint="eastAsia" w:ascii="方正楷体_GBK" w:eastAsia="方正楷体_GBK"/>
          <w:color w:val="auto"/>
          <w:sz w:val="32"/>
          <w:szCs w:val="32"/>
        </w:rPr>
        <w:t>深化信用修复“一网通办”机制。</w:t>
      </w:r>
      <w:r>
        <w:rPr>
          <w:rFonts w:hint="eastAsia" w:ascii="方正仿宋_GBK"/>
          <w:strike w:val="0"/>
          <w:dstrike w:val="0"/>
          <w:color w:val="auto"/>
          <w:sz w:val="32"/>
          <w:szCs w:val="32"/>
        </w:rPr>
        <w:t>根</w:t>
      </w:r>
      <w:r>
        <w:rPr>
          <w:rFonts w:hint="eastAsia" w:ascii="方正仿宋_GBK"/>
          <w:color w:val="auto"/>
          <w:sz w:val="32"/>
          <w:szCs w:val="32"/>
        </w:rPr>
        <w:t>据国家有关部委关于“信用中国”网站严重失信主体名单信息信用修复“一网通办”、加强拖欠农民工工资失信联合惩戒对象名单管理和政务服务一体化等工作要求，推动应急、统计、人社、税务等部门建立完善统一操作规则，共享信用信息，畅通修复渠道，形成统一规范、协同共享、科学高效的严重失信主体名单信用修复机制。</w:t>
      </w:r>
    </w:p>
    <w:p>
      <w:pPr>
        <w:spacing w:line="587" w:lineRule="exact"/>
        <w:ind w:firstLine="630"/>
        <w:rPr>
          <w:color w:val="auto"/>
          <w:sz w:val="32"/>
          <w:szCs w:val="32"/>
        </w:rPr>
      </w:pPr>
      <w:r>
        <w:rPr>
          <w:rFonts w:hint="default" w:ascii="Times New Roman" w:eastAsia="方正楷体_GBK"/>
          <w:color w:val="auto"/>
          <w:sz w:val="32"/>
          <w:szCs w:val="32"/>
          <w:lang w:val="en-US" w:eastAsia="zh-CN"/>
        </w:rPr>
        <w:t>11</w:t>
      </w:r>
      <w:r>
        <w:rPr>
          <w:rFonts w:eastAsia="方正楷体_GBK"/>
          <w:color w:val="auto"/>
          <w:sz w:val="32"/>
          <w:szCs w:val="32"/>
        </w:rPr>
        <w:t>．</w:t>
      </w:r>
      <w:r>
        <w:rPr>
          <w:rFonts w:hint="eastAsia" w:ascii="方正楷体_GBK" w:eastAsia="方正楷体_GBK"/>
          <w:color w:val="auto"/>
          <w:sz w:val="32"/>
          <w:szCs w:val="32"/>
        </w:rPr>
        <w:t>推行信用报告替代证明。</w:t>
      </w:r>
      <w:r>
        <w:rPr>
          <w:color w:val="auto"/>
          <w:sz w:val="32"/>
          <w:szCs w:val="32"/>
        </w:rPr>
        <w:t>制定</w:t>
      </w:r>
      <w:r>
        <w:rPr>
          <w:rFonts w:hint="eastAsia" w:ascii="方正仿宋_GBK"/>
          <w:color w:val="auto"/>
          <w:sz w:val="32"/>
          <w:szCs w:val="32"/>
        </w:rPr>
        <w:t>专项信用报告</w:t>
      </w:r>
      <w:r>
        <w:rPr>
          <w:rFonts w:hint="eastAsia" w:ascii="方正仿宋_GBK"/>
          <w:color w:val="auto"/>
          <w:sz w:val="32"/>
          <w:szCs w:val="32"/>
          <w:lang w:eastAsia="zh-CN"/>
        </w:rPr>
        <w:t>替代</w:t>
      </w:r>
      <w:r>
        <w:rPr>
          <w:rFonts w:hint="eastAsia" w:ascii="方正仿宋_GBK"/>
          <w:color w:val="auto"/>
          <w:sz w:val="32"/>
          <w:szCs w:val="32"/>
        </w:rPr>
        <w:t>无违法违规记录证明实施方案，</w:t>
      </w:r>
      <w:r>
        <w:rPr>
          <w:rFonts w:hint="eastAsia" w:ascii="方正仿宋_GBK" w:hAnsi="Times New Roman" w:eastAsia="方正仿宋_GBK" w:cs="Times New Roman"/>
          <w:color w:val="auto"/>
          <w:sz w:val="32"/>
          <w:szCs w:val="32"/>
        </w:rPr>
        <w:t>推动各地各部门全量梳理本行业领域、本地区近三年产生的行政处罚信息、严重失信主体名单信息</w:t>
      </w:r>
      <w:r>
        <w:rPr>
          <w:rFonts w:hint="eastAsia" w:ascii="方正仿宋_GBK"/>
          <w:strike w:val="0"/>
          <w:color w:val="auto"/>
          <w:sz w:val="32"/>
          <w:szCs w:val="32"/>
        </w:rPr>
        <w:t>。</w:t>
      </w:r>
      <w:r>
        <w:rPr>
          <w:color w:val="auto"/>
          <w:sz w:val="32"/>
          <w:szCs w:val="32"/>
        </w:rPr>
        <w:t>依托</w:t>
      </w:r>
      <w:r>
        <w:rPr>
          <w:rFonts w:hint="eastAsia"/>
          <w:color w:val="auto"/>
          <w:sz w:val="32"/>
          <w:szCs w:val="32"/>
        </w:rPr>
        <w:t>“信用江苏”网站上线专项信用报告查询功能</w:t>
      </w:r>
      <w:r>
        <w:rPr>
          <w:color w:val="auto"/>
          <w:sz w:val="32"/>
          <w:szCs w:val="32"/>
        </w:rPr>
        <w:t>。</w:t>
      </w:r>
      <w:r>
        <w:rPr>
          <w:rFonts w:hint="eastAsia"/>
          <w:color w:val="auto"/>
          <w:sz w:val="32"/>
          <w:szCs w:val="32"/>
        </w:rPr>
        <w:t>支持</w:t>
      </w:r>
      <w:r>
        <w:rPr>
          <w:color w:val="auto"/>
          <w:sz w:val="32"/>
          <w:szCs w:val="32"/>
        </w:rPr>
        <w:t>各</w:t>
      </w:r>
      <w:r>
        <w:rPr>
          <w:rFonts w:hint="eastAsia"/>
          <w:color w:val="auto"/>
          <w:sz w:val="32"/>
          <w:szCs w:val="32"/>
        </w:rPr>
        <w:t>地各</w:t>
      </w:r>
      <w:r>
        <w:rPr>
          <w:color w:val="auto"/>
          <w:sz w:val="32"/>
          <w:szCs w:val="32"/>
        </w:rPr>
        <w:t>部门围绕优环境、促发展，依法依规拓展企业信用报告的适用范围，在政府采购、</w:t>
      </w:r>
      <w:r>
        <w:rPr>
          <w:rFonts w:hint="eastAsia" w:ascii="Times New Roman" w:hAnsi="Times New Roman" w:eastAsia="方正仿宋_GBK" w:cs="Times New Roman"/>
          <w:color w:val="auto"/>
          <w:sz w:val="32"/>
          <w:szCs w:val="32"/>
        </w:rPr>
        <w:t>招商引资、资质审核、</w:t>
      </w:r>
      <w:r>
        <w:rPr>
          <w:color w:val="auto"/>
          <w:sz w:val="32"/>
          <w:szCs w:val="32"/>
        </w:rPr>
        <w:t>公共资源交易、政策资金支持等事项中推广应用。</w:t>
      </w:r>
    </w:p>
    <w:p>
      <w:pPr>
        <w:spacing w:line="587" w:lineRule="exact"/>
        <w:ind w:firstLine="630"/>
        <w:rPr>
          <w:rFonts w:ascii="方正楷体_GBK"/>
          <w:color w:val="auto"/>
          <w:sz w:val="32"/>
          <w:szCs w:val="32"/>
        </w:rPr>
      </w:pPr>
      <w:r>
        <w:rPr>
          <w:rFonts w:hint="eastAsia" w:eastAsia="方正楷体_GBK"/>
          <w:color w:val="auto"/>
          <w:sz w:val="32"/>
          <w:szCs w:val="32"/>
          <w:lang w:val="en-US" w:eastAsia="zh-CN"/>
        </w:rPr>
        <w:t>12</w:t>
      </w:r>
      <w:r>
        <w:rPr>
          <w:rFonts w:eastAsia="方正楷体_GBK"/>
          <w:color w:val="auto"/>
          <w:sz w:val="32"/>
          <w:szCs w:val="32"/>
        </w:rPr>
        <w:t>．</w:t>
      </w:r>
      <w:r>
        <w:rPr>
          <w:rFonts w:ascii="方正楷体_GBK" w:eastAsia="方正楷体_GBK"/>
          <w:color w:val="auto"/>
          <w:sz w:val="32"/>
          <w:szCs w:val="32"/>
        </w:rPr>
        <w:t>推</w:t>
      </w:r>
      <w:r>
        <w:rPr>
          <w:rFonts w:hint="eastAsia" w:ascii="方正楷体_GBK" w:eastAsia="方正楷体_GBK"/>
          <w:color w:val="auto"/>
          <w:sz w:val="32"/>
          <w:szCs w:val="32"/>
        </w:rPr>
        <w:t>广“</w:t>
      </w:r>
      <w:r>
        <w:rPr>
          <w:rFonts w:ascii="方正楷体_GBK" w:eastAsia="方正楷体_GBK"/>
          <w:color w:val="auto"/>
          <w:sz w:val="32"/>
          <w:szCs w:val="32"/>
        </w:rPr>
        <w:t>信易</w:t>
      </w:r>
      <w:r>
        <w:rPr>
          <w:rFonts w:hint="default" w:ascii="Times New Roman" w:hAnsi="Times New Roman" w:eastAsia="方正楷体_GBK" w:cs="Times New Roman"/>
          <w:color w:val="auto"/>
          <w:sz w:val="32"/>
          <w:szCs w:val="32"/>
        </w:rPr>
        <w:t>+</w:t>
      </w:r>
      <w:r>
        <w:rPr>
          <w:rFonts w:hint="eastAsia" w:ascii="方正楷体_GBK" w:eastAsia="方正楷体_GBK"/>
          <w:color w:val="auto"/>
          <w:sz w:val="32"/>
          <w:szCs w:val="32"/>
        </w:rPr>
        <w:t>”场景应用。</w:t>
      </w:r>
      <w:r>
        <w:rPr>
          <w:rFonts w:hint="eastAsia" w:ascii="方正仿宋_GBK"/>
          <w:color w:val="auto"/>
          <w:sz w:val="32"/>
          <w:szCs w:val="32"/>
        </w:rPr>
        <w:t>持续推动各地各部门在旅游、交通、医疗、消费、养老、家政等领域拓展“信用</w:t>
      </w:r>
      <w:r>
        <w:rPr>
          <w:color w:val="auto"/>
          <w:sz w:val="32"/>
          <w:szCs w:val="32"/>
        </w:rPr>
        <w:t>+</w:t>
      </w:r>
      <w:r>
        <w:rPr>
          <w:rFonts w:hint="eastAsia" w:ascii="方正仿宋_GBK"/>
          <w:color w:val="auto"/>
          <w:sz w:val="32"/>
          <w:szCs w:val="32"/>
        </w:rPr>
        <w:t>”应用场景</w:t>
      </w:r>
      <w:r>
        <w:rPr>
          <w:rFonts w:hint="eastAsia"/>
          <w:color w:val="auto"/>
          <w:sz w:val="32"/>
          <w:szCs w:val="32"/>
        </w:rPr>
        <w:t>。</w:t>
      </w:r>
      <w:r>
        <w:rPr>
          <w:rFonts w:hint="eastAsia" w:ascii="方正仿宋_GBK"/>
          <w:color w:val="auto"/>
          <w:sz w:val="32"/>
          <w:szCs w:val="32"/>
        </w:rPr>
        <w:t>鼓励各地依法依规探索个人信用积分管理，丰富“信易</w:t>
      </w:r>
      <w:r>
        <w:rPr>
          <w:rFonts w:hint="eastAsia"/>
          <w:color w:val="auto"/>
          <w:sz w:val="32"/>
          <w:szCs w:val="32"/>
        </w:rPr>
        <w:t>+</w:t>
      </w:r>
      <w:r>
        <w:rPr>
          <w:rFonts w:hint="eastAsia" w:ascii="方正仿宋_GBK"/>
          <w:color w:val="auto"/>
          <w:sz w:val="32"/>
          <w:szCs w:val="32"/>
        </w:rPr>
        <w:t>”惠民场景，推出更多以信用激励为主的惠民便企应用服务。</w:t>
      </w:r>
    </w:p>
    <w:p>
      <w:pPr>
        <w:spacing w:line="587" w:lineRule="exact"/>
        <w:ind w:firstLine="630"/>
        <w:rPr>
          <w:rFonts w:ascii="方正黑体_GBK" w:eastAsia="方正黑体_GBK"/>
          <w:color w:val="auto"/>
          <w:sz w:val="32"/>
          <w:szCs w:val="32"/>
        </w:rPr>
      </w:pPr>
      <w:r>
        <w:rPr>
          <w:rFonts w:hint="eastAsia" w:ascii="方正黑体_GBK" w:eastAsia="方正黑体_GBK"/>
          <w:color w:val="auto"/>
          <w:sz w:val="32"/>
          <w:szCs w:val="32"/>
          <w:lang w:eastAsia="zh-CN"/>
        </w:rPr>
        <w:t>四</w:t>
      </w:r>
      <w:r>
        <w:rPr>
          <w:rFonts w:hint="eastAsia" w:ascii="方正仿宋_GBK" w:hAnsi="方正仿宋_GBK" w:eastAsia="方正仿宋_GBK" w:cs="方正仿宋_GBK"/>
          <w:color w:val="auto"/>
          <w:sz w:val="32"/>
          <w:szCs w:val="32"/>
        </w:rPr>
        <w:t>、</w:t>
      </w:r>
      <w:r>
        <w:rPr>
          <w:rFonts w:ascii="方正黑体_GBK" w:eastAsia="方正黑体_GBK"/>
          <w:color w:val="auto"/>
          <w:sz w:val="32"/>
          <w:szCs w:val="32"/>
        </w:rPr>
        <w:t>强化重点领域信用建设</w:t>
      </w:r>
      <w:r>
        <w:rPr>
          <w:rFonts w:hint="eastAsia" w:ascii="方正黑体_GBK" w:eastAsia="方正黑体_GBK"/>
          <w:color w:val="auto"/>
          <w:sz w:val="32"/>
          <w:szCs w:val="32"/>
        </w:rPr>
        <w:t>，提升信用建设能级</w:t>
      </w:r>
    </w:p>
    <w:p>
      <w:pPr>
        <w:spacing w:line="587" w:lineRule="exact"/>
        <w:ind w:firstLine="630"/>
        <w:rPr>
          <w:color w:val="auto"/>
          <w:sz w:val="32"/>
          <w:szCs w:val="32"/>
        </w:rPr>
      </w:pPr>
      <w:r>
        <w:rPr>
          <w:rFonts w:hint="eastAsia" w:eastAsia="方正楷体_GBK"/>
          <w:color w:val="auto"/>
          <w:sz w:val="32"/>
          <w:szCs w:val="32"/>
          <w:lang w:val="en-US" w:eastAsia="zh-CN"/>
        </w:rPr>
        <w:t>13</w:t>
      </w:r>
      <w:r>
        <w:rPr>
          <w:rFonts w:eastAsia="方正楷体_GBK"/>
          <w:color w:val="auto"/>
          <w:sz w:val="32"/>
          <w:szCs w:val="32"/>
        </w:rPr>
        <w:t>．</w:t>
      </w:r>
      <w:r>
        <w:rPr>
          <w:rFonts w:ascii="方正楷体_GBK" w:eastAsia="方正楷体_GBK"/>
          <w:color w:val="auto"/>
          <w:sz w:val="32"/>
          <w:szCs w:val="32"/>
        </w:rPr>
        <w:t>加强政务诚信领域建设。</w:t>
      </w:r>
      <w:r>
        <w:rPr>
          <w:color w:val="auto"/>
          <w:sz w:val="32"/>
          <w:szCs w:val="32"/>
        </w:rPr>
        <w:t>深化</w:t>
      </w:r>
      <w:r>
        <w:rPr>
          <w:rFonts w:hint="eastAsia"/>
          <w:color w:val="auto"/>
          <w:sz w:val="32"/>
          <w:szCs w:val="32"/>
        </w:rPr>
        <w:t>政府采购、招标投标、招商引资等</w:t>
      </w:r>
      <w:r>
        <w:rPr>
          <w:color w:val="auto"/>
          <w:sz w:val="32"/>
          <w:szCs w:val="32"/>
        </w:rPr>
        <w:t>重点领域政务诚信建设</w:t>
      </w:r>
      <w:r>
        <w:rPr>
          <w:rFonts w:hint="eastAsia"/>
          <w:color w:val="auto"/>
          <w:sz w:val="32"/>
          <w:szCs w:val="32"/>
        </w:rPr>
        <w:t>。</w:t>
      </w:r>
      <w:r>
        <w:rPr>
          <w:rFonts w:hint="default" w:ascii="Times New Roman" w:hAnsi="Times New Roman" w:eastAsia="方正仿宋_GBK" w:cs="Times New Roman"/>
          <w:color w:val="auto"/>
          <w:sz w:val="32"/>
          <w:szCs w:val="32"/>
        </w:rPr>
        <w:t>强化对政府签订、指导签订合同等履约信用监管，</w:t>
      </w:r>
      <w:r>
        <w:rPr>
          <w:rFonts w:hint="default" w:hAnsi="Times New Roman" w:cs="Times New Roman"/>
          <w:color w:val="auto"/>
          <w:sz w:val="32"/>
          <w:szCs w:val="32"/>
          <w:lang w:bidi="ar"/>
        </w:rPr>
        <w:t>并依托各级公共信用信息系统归集</w:t>
      </w:r>
      <w:r>
        <w:rPr>
          <w:rFonts w:hint="default" w:ascii="Times New Roman" w:hAnsi="Times New Roman" w:eastAsia="方正仿宋_GBK" w:cs="Times New Roman"/>
          <w:color w:val="auto"/>
          <w:sz w:val="32"/>
          <w:szCs w:val="32"/>
        </w:rPr>
        <w:t>经核实的</w:t>
      </w:r>
      <w:r>
        <w:rPr>
          <w:rFonts w:hint="default" w:hAnsi="Times New Roman" w:cs="Times New Roman"/>
          <w:color w:val="auto"/>
          <w:sz w:val="32"/>
          <w:szCs w:val="32"/>
          <w:lang w:bidi="ar"/>
        </w:rPr>
        <w:t>合同履约情况。</w:t>
      </w:r>
      <w:r>
        <w:rPr>
          <w:rFonts w:hint="eastAsia"/>
          <w:color w:val="auto"/>
          <w:sz w:val="32"/>
          <w:szCs w:val="32"/>
        </w:rPr>
        <w:t>积极稳妥</w:t>
      </w:r>
      <w:r>
        <w:rPr>
          <w:rFonts w:hAnsi="Times New Roman" w:cs="Times New Roman"/>
          <w:color w:val="auto"/>
          <w:sz w:val="32"/>
          <w:szCs w:val="32"/>
          <w:lang w:bidi="ar"/>
        </w:rPr>
        <w:t>处置政府失信违约投诉线索，推动相关政府部门履行合同约定义务。定期排查政府</w:t>
      </w:r>
      <w:r>
        <w:rPr>
          <w:rFonts w:hint="eastAsia" w:cs="Times New Roman"/>
          <w:color w:val="auto"/>
          <w:sz w:val="32"/>
          <w:szCs w:val="32"/>
          <w:lang w:val="en-US" w:eastAsia="zh-CN" w:bidi="ar"/>
        </w:rPr>
        <w:t>机构</w:t>
      </w:r>
      <w:r>
        <w:rPr>
          <w:rFonts w:hAnsi="Times New Roman" w:cs="Times New Roman"/>
          <w:color w:val="auto"/>
          <w:sz w:val="32"/>
          <w:szCs w:val="32"/>
          <w:lang w:bidi="ar"/>
        </w:rPr>
        <w:t>列入失信被执行人名单情况，确保全省政府机构失信案件持续</w:t>
      </w:r>
      <w:r>
        <w:rPr>
          <w:rFonts w:hint="eastAsia" w:ascii="方正仿宋_GBK" w:hAnsi="方正仿宋_GBK" w:cs="方正仿宋_GBK"/>
          <w:color w:val="auto"/>
          <w:sz w:val="32"/>
          <w:szCs w:val="32"/>
          <w:lang w:bidi="ar"/>
        </w:rPr>
        <w:t>“清零”</w:t>
      </w:r>
      <w:r>
        <w:rPr>
          <w:rFonts w:hAnsi="Times New Roman" w:cs="Times New Roman"/>
          <w:color w:val="auto"/>
          <w:sz w:val="32"/>
          <w:szCs w:val="32"/>
          <w:lang w:bidi="ar"/>
        </w:rPr>
        <w:t>。</w:t>
      </w:r>
      <w:r>
        <w:rPr>
          <w:color w:val="auto"/>
          <w:sz w:val="32"/>
          <w:szCs w:val="32"/>
        </w:rPr>
        <w:t>推动在公务员招录、调任等工作中依法依规查询信用信息</w:t>
      </w:r>
      <w:r>
        <w:rPr>
          <w:rFonts w:hint="default" w:ascii="Times New Roman" w:hAnsi="Times New Roman" w:eastAsia="方正仿宋_GBK" w:cs="Times New Roman"/>
          <w:color w:val="auto"/>
          <w:sz w:val="32"/>
          <w:szCs w:val="32"/>
        </w:rPr>
        <w:t>，加强公职人员诚信管理和教育</w:t>
      </w:r>
      <w:r>
        <w:rPr>
          <w:color w:val="auto"/>
          <w:sz w:val="32"/>
          <w:szCs w:val="32"/>
        </w:rPr>
        <w:t>。</w:t>
      </w:r>
    </w:p>
    <w:p>
      <w:pPr>
        <w:pStyle w:val="5"/>
        <w:ind w:firstLine="630"/>
        <w:rPr>
          <w:rFonts w:hint="default" w:ascii="方正仿宋_GBK" w:hAnsi="方正仿宋_GBK" w:cs="方正仿宋_GBK"/>
          <w:color w:val="auto"/>
          <w:sz w:val="32"/>
          <w:szCs w:val="32"/>
        </w:rPr>
      </w:pPr>
      <w:r>
        <w:rPr>
          <w:rFonts w:hint="default" w:ascii="Times New Roman" w:eastAsia="方正楷体_GBK" w:cs="Times New Roman"/>
          <w:color w:val="auto"/>
          <w:sz w:val="32"/>
          <w:szCs w:val="32"/>
          <w:lang w:val="en-US" w:eastAsia="zh-CN"/>
        </w:rPr>
        <w:t>14</w:t>
      </w:r>
      <w:r>
        <w:rPr>
          <w:rFonts w:hint="default" w:ascii="方正楷体_GBK" w:hAnsi="Times New Roman" w:eastAsia="方正楷体_GBK" w:cs="Times New Roman"/>
          <w:color w:val="auto"/>
          <w:sz w:val="32"/>
          <w:szCs w:val="32"/>
        </w:rPr>
        <w:t>．加强经营主体和社会组织信用建设。</w:t>
      </w:r>
      <w:r>
        <w:rPr>
          <w:rFonts w:hint="default" w:ascii="Times New Roman" w:hAnsi="Times New Roman" w:cs="Times New Roman"/>
          <w:color w:val="auto"/>
          <w:sz w:val="32"/>
          <w:szCs w:val="32"/>
        </w:rPr>
        <w:t>强化经营主体信用管理，编纂《企业信用管理规范》省级地方标准宣贯材料，</w:t>
      </w:r>
      <w:r>
        <w:rPr>
          <w:rFonts w:hint="default" w:ascii="Times New Roman" w:hAnsi="Times New Roman" w:eastAsia="方正仿宋_GBK" w:cs="Times New Roman"/>
          <w:color w:val="auto"/>
          <w:sz w:val="32"/>
          <w:szCs w:val="32"/>
        </w:rPr>
        <w:t>支持经营主体完善合规经营制度、管控信用风险。鼓励经营主体主动向信用服务机构提供信用信息，持续健全信用记录。加强社会组织信用信息管理、共享、公开，强化社会组织信用监管。行业主管部门和业务主管单位推动行业协会商会加强诚信建设，指导行业协会商会依法依规开展信用评价等活动，强化行业诚信自律。</w:t>
      </w:r>
    </w:p>
    <w:p>
      <w:pPr>
        <w:spacing w:line="580" w:lineRule="exact"/>
        <w:ind w:firstLine="630"/>
        <w:rPr>
          <w:color w:val="auto"/>
          <w:sz w:val="32"/>
          <w:szCs w:val="32"/>
        </w:rPr>
      </w:pPr>
      <w:r>
        <w:rPr>
          <w:rFonts w:hint="eastAsia" w:eastAsia="方正楷体_GBK"/>
          <w:color w:val="auto"/>
          <w:sz w:val="32"/>
          <w:szCs w:val="32"/>
          <w:lang w:val="en-US" w:eastAsia="zh-CN"/>
        </w:rPr>
        <w:t>15</w:t>
      </w:r>
      <w:r>
        <w:rPr>
          <w:rFonts w:eastAsia="方正楷体_GBK"/>
          <w:color w:val="auto"/>
          <w:sz w:val="32"/>
          <w:szCs w:val="32"/>
        </w:rPr>
        <w:t>．</w:t>
      </w:r>
      <w:r>
        <w:rPr>
          <w:rFonts w:hint="eastAsia" w:ascii="方正楷体_GBK" w:eastAsia="方正楷体_GBK"/>
          <w:color w:val="auto"/>
          <w:sz w:val="32"/>
          <w:szCs w:val="32"/>
        </w:rPr>
        <w:t>深化长三角</w:t>
      </w:r>
      <w:r>
        <w:rPr>
          <w:rFonts w:ascii="方正楷体_GBK" w:eastAsia="方正楷体_GBK"/>
          <w:color w:val="auto"/>
          <w:sz w:val="32"/>
          <w:szCs w:val="32"/>
        </w:rPr>
        <w:t>区域</w:t>
      </w:r>
      <w:r>
        <w:rPr>
          <w:rFonts w:hint="eastAsia" w:ascii="方正楷体_GBK" w:eastAsia="方正楷体_GBK"/>
          <w:color w:val="auto"/>
          <w:sz w:val="32"/>
          <w:szCs w:val="32"/>
        </w:rPr>
        <w:t>信用</w:t>
      </w:r>
      <w:r>
        <w:rPr>
          <w:rFonts w:ascii="方正楷体_GBK" w:eastAsia="方正楷体_GBK"/>
          <w:color w:val="auto"/>
          <w:sz w:val="32"/>
          <w:szCs w:val="32"/>
        </w:rPr>
        <w:t>合作</w:t>
      </w:r>
      <w:r>
        <w:rPr>
          <w:rFonts w:hint="eastAsia" w:ascii="方正楷体_GBK" w:eastAsia="方正楷体_GBK"/>
          <w:color w:val="auto"/>
          <w:sz w:val="32"/>
          <w:szCs w:val="32"/>
        </w:rPr>
        <w:t>。</w:t>
      </w:r>
      <w:r>
        <w:rPr>
          <w:rFonts w:hint="eastAsia"/>
          <w:color w:val="auto"/>
          <w:sz w:val="32"/>
          <w:szCs w:val="32"/>
        </w:rPr>
        <w:t>积极支持“信用长三角”平台功能优化完善，推进三省一市专项信用报告替代无违法违规证明</w:t>
      </w:r>
      <w:r>
        <w:rPr>
          <w:rFonts w:hint="eastAsia" w:ascii="Times New Roman" w:hAnsi="Times New Roman" w:eastAsia="方正仿宋_GBK" w:cs="Times New Roman"/>
          <w:color w:val="auto"/>
          <w:sz w:val="32"/>
          <w:szCs w:val="32"/>
        </w:rPr>
        <w:t>互认互用</w:t>
      </w:r>
      <w:r>
        <w:rPr>
          <w:rFonts w:hint="eastAsia"/>
          <w:color w:val="auto"/>
          <w:sz w:val="32"/>
          <w:szCs w:val="32"/>
        </w:rPr>
        <w:t>。支持重点行业领域和重点区域信用应用，落地落实食品药品安全、文化旅游、交通运输等合作备忘录及相关协议内容，</w:t>
      </w:r>
      <w:r>
        <w:rPr>
          <w:rFonts w:hint="eastAsia"/>
          <w:color w:val="auto"/>
          <w:sz w:val="32"/>
          <w:szCs w:val="32"/>
          <w:lang w:val="en-US" w:eastAsia="zh-CN"/>
        </w:rPr>
        <w:t>推进海事部门“绿色快航”等诚信激励措施区域推广应用</w:t>
      </w:r>
      <w:r>
        <w:rPr>
          <w:rFonts w:hint="eastAsia"/>
          <w:color w:val="auto"/>
          <w:sz w:val="32"/>
          <w:szCs w:val="32"/>
        </w:rPr>
        <w:t>。支持生态绿色一体化发展示范区信用建设。全面谋划和做好轮值方有关工作，支持深化合作的制度建设、信息共享、场景应用等工作，做好典型案例、应用场景的总结提炼及发布。</w:t>
      </w:r>
    </w:p>
    <w:p>
      <w:pPr>
        <w:spacing w:line="587" w:lineRule="exact"/>
        <w:ind w:firstLine="630"/>
        <w:rPr>
          <w:color w:val="auto"/>
          <w:sz w:val="32"/>
          <w:szCs w:val="32"/>
        </w:rPr>
      </w:pPr>
      <w:r>
        <w:rPr>
          <w:rFonts w:hint="eastAsia" w:eastAsia="方正楷体_GBK"/>
          <w:color w:val="auto"/>
          <w:sz w:val="32"/>
          <w:szCs w:val="32"/>
          <w:lang w:val="en-US" w:eastAsia="zh-CN"/>
        </w:rPr>
        <w:t>16</w:t>
      </w:r>
      <w:r>
        <w:rPr>
          <w:rFonts w:eastAsia="方正楷体_GBK"/>
          <w:color w:val="auto"/>
          <w:sz w:val="32"/>
          <w:szCs w:val="32"/>
        </w:rPr>
        <w:t>．</w:t>
      </w:r>
      <w:r>
        <w:rPr>
          <w:rFonts w:hint="eastAsia" w:ascii="方正楷体_GBK" w:eastAsia="方正楷体_GBK"/>
          <w:color w:val="auto"/>
          <w:sz w:val="32"/>
          <w:szCs w:val="32"/>
        </w:rPr>
        <w:t>促进</w:t>
      </w:r>
      <w:r>
        <w:rPr>
          <w:rFonts w:ascii="方正楷体_GBK" w:eastAsia="方正楷体_GBK"/>
          <w:color w:val="auto"/>
          <w:sz w:val="32"/>
          <w:szCs w:val="32"/>
        </w:rPr>
        <w:t>信用服务机构</w:t>
      </w:r>
      <w:r>
        <w:rPr>
          <w:rFonts w:hint="eastAsia" w:ascii="方正楷体_GBK" w:eastAsia="方正楷体_GBK"/>
          <w:color w:val="auto"/>
          <w:sz w:val="32"/>
          <w:szCs w:val="32"/>
        </w:rPr>
        <w:t>发展。</w:t>
      </w:r>
      <w:r>
        <w:rPr>
          <w:rFonts w:hint="eastAsia"/>
          <w:color w:val="auto"/>
          <w:sz w:val="32"/>
          <w:szCs w:val="32"/>
        </w:rPr>
        <w:t>坚持监管规范和促进发展并重，</w:t>
      </w:r>
      <w:r>
        <w:rPr>
          <w:color w:val="auto"/>
          <w:sz w:val="32"/>
          <w:szCs w:val="32"/>
        </w:rPr>
        <w:t>鼓励信用服务机构拓展信用服务</w:t>
      </w:r>
      <w:r>
        <w:rPr>
          <w:rFonts w:hint="eastAsia"/>
          <w:color w:val="auto"/>
          <w:sz w:val="32"/>
          <w:szCs w:val="32"/>
        </w:rPr>
        <w:t>范围，</w:t>
      </w:r>
      <w:r>
        <w:rPr>
          <w:color w:val="auto"/>
          <w:sz w:val="32"/>
          <w:szCs w:val="32"/>
        </w:rPr>
        <w:t>提升综合竞争优势</w:t>
      </w:r>
      <w:r>
        <w:rPr>
          <w:rFonts w:hint="eastAsia"/>
          <w:color w:val="auto"/>
          <w:sz w:val="32"/>
          <w:szCs w:val="32"/>
        </w:rPr>
        <w:t>，树立品牌意识，持续做优做强。牵头开展</w:t>
      </w:r>
      <w:r>
        <w:rPr>
          <w:rFonts w:hint="eastAsia"/>
          <w:strike w:val="0"/>
          <w:color w:val="auto"/>
          <w:sz w:val="32"/>
          <w:szCs w:val="32"/>
        </w:rPr>
        <w:t>信用服务机构</w:t>
      </w:r>
      <w:r>
        <w:rPr>
          <w:rFonts w:hint="eastAsia"/>
          <w:strike w:val="0"/>
          <w:color w:val="auto"/>
          <w:sz w:val="32"/>
          <w:szCs w:val="32"/>
          <w:lang w:eastAsia="zh-CN"/>
        </w:rPr>
        <w:t>“</w:t>
      </w:r>
      <w:r>
        <w:rPr>
          <w:rFonts w:hint="eastAsia"/>
          <w:strike w:val="0"/>
          <w:color w:val="auto"/>
          <w:szCs w:val="32"/>
        </w:rPr>
        <w:t>双随机、一公开</w:t>
      </w:r>
      <w:r>
        <w:rPr>
          <w:rFonts w:hint="eastAsia"/>
          <w:strike w:val="0"/>
          <w:color w:val="auto"/>
          <w:sz w:val="32"/>
          <w:szCs w:val="32"/>
          <w:lang w:eastAsia="zh-CN"/>
        </w:rPr>
        <w:t>”监管</w:t>
      </w:r>
      <w:r>
        <w:rPr>
          <w:rFonts w:hint="eastAsia"/>
          <w:color w:val="auto"/>
          <w:sz w:val="32"/>
          <w:szCs w:val="32"/>
          <w:lang w:eastAsia="zh-CN"/>
        </w:rPr>
        <w:t>，</w:t>
      </w:r>
      <w:r>
        <w:rPr>
          <w:color w:val="auto"/>
          <w:sz w:val="32"/>
          <w:szCs w:val="32"/>
        </w:rPr>
        <w:t>推动信用服务机构向社会公示信用报告</w:t>
      </w:r>
      <w:r>
        <w:rPr>
          <w:rFonts w:hint="eastAsia"/>
          <w:color w:val="auto"/>
          <w:sz w:val="32"/>
          <w:szCs w:val="32"/>
        </w:rPr>
        <w:t>，</w:t>
      </w:r>
      <w:r>
        <w:rPr>
          <w:color w:val="auto"/>
          <w:sz w:val="32"/>
          <w:szCs w:val="32"/>
        </w:rPr>
        <w:t>规范信用服务机构行为。</w:t>
      </w:r>
    </w:p>
    <w:p>
      <w:pPr>
        <w:spacing w:line="587" w:lineRule="exact"/>
        <w:ind w:firstLine="630"/>
        <w:rPr>
          <w:rFonts w:ascii="方正黑体_GBK" w:eastAsia="方正黑体_GBK"/>
          <w:color w:val="auto"/>
          <w:sz w:val="32"/>
          <w:szCs w:val="32"/>
        </w:rPr>
      </w:pPr>
      <w:r>
        <w:rPr>
          <w:rFonts w:hint="eastAsia" w:ascii="方正黑体_GBK" w:eastAsia="方正黑体_GBK"/>
          <w:color w:val="auto"/>
          <w:sz w:val="32"/>
          <w:szCs w:val="32"/>
          <w:lang w:eastAsia="zh-CN"/>
        </w:rPr>
        <w:t>五</w:t>
      </w:r>
      <w:r>
        <w:rPr>
          <w:rFonts w:hint="eastAsia" w:ascii="方正仿宋_GBK" w:hAnsi="方正仿宋_GBK" w:eastAsia="方正仿宋_GBK" w:cs="方正仿宋_GBK"/>
          <w:color w:val="auto"/>
          <w:sz w:val="32"/>
          <w:szCs w:val="32"/>
        </w:rPr>
        <w:t>、</w:t>
      </w:r>
      <w:r>
        <w:rPr>
          <w:rFonts w:hint="eastAsia" w:ascii="方正黑体_GBK" w:eastAsia="方正黑体_GBK"/>
          <w:color w:val="auto"/>
          <w:sz w:val="32"/>
          <w:szCs w:val="32"/>
        </w:rPr>
        <w:t>打造诚信社会环境，营造共建共治氛围</w:t>
      </w:r>
    </w:p>
    <w:p>
      <w:pPr>
        <w:spacing w:line="600" w:lineRule="exact"/>
        <w:ind w:firstLine="630"/>
        <w:rPr>
          <w:snapToGrid w:val="0"/>
          <w:color w:val="auto"/>
          <w:kern w:val="0"/>
          <w:sz w:val="32"/>
          <w:szCs w:val="32"/>
        </w:rPr>
      </w:pPr>
      <w:r>
        <w:rPr>
          <w:rFonts w:hint="default" w:ascii="Times New Roman" w:eastAsia="方正楷体_GBK"/>
          <w:color w:val="auto"/>
          <w:sz w:val="32"/>
          <w:szCs w:val="32"/>
          <w:lang w:val="en-US" w:eastAsia="zh-CN"/>
        </w:rPr>
        <w:t>17</w:t>
      </w:r>
      <w:r>
        <w:rPr>
          <w:rFonts w:hint="eastAsia" w:ascii="方正楷体_GBK" w:eastAsia="方正楷体_GBK"/>
          <w:color w:val="auto"/>
          <w:sz w:val="32"/>
          <w:szCs w:val="32"/>
        </w:rPr>
        <w:t>．加强工作统筹协调力度</w:t>
      </w:r>
      <w:r>
        <w:rPr>
          <w:rFonts w:ascii="方正楷体_GBK" w:eastAsia="方正楷体_GBK"/>
          <w:color w:val="auto"/>
          <w:sz w:val="32"/>
          <w:szCs w:val="32"/>
        </w:rPr>
        <w:t>。</w:t>
      </w:r>
      <w:r>
        <w:rPr>
          <w:rFonts w:hint="eastAsia"/>
          <w:snapToGrid w:val="0"/>
          <w:color w:val="auto"/>
          <w:kern w:val="0"/>
          <w:sz w:val="32"/>
          <w:szCs w:val="32"/>
        </w:rPr>
        <w:t>按计划召开省社会信用体系建设联席会议、全省社会信用体系建设工作会议，围绕“双公示”、城市信用监测、融资信用服务相关信息共享、信用教育、信用基层治理等事项，加强与相关省级部门和</w:t>
      </w:r>
      <w:r>
        <w:rPr>
          <w:snapToGrid w:val="0"/>
          <w:color w:val="auto"/>
          <w:kern w:val="0"/>
          <w:sz w:val="32"/>
          <w:szCs w:val="32"/>
        </w:rPr>
        <w:t>各设区市</w:t>
      </w:r>
      <w:r>
        <w:rPr>
          <w:rFonts w:hint="eastAsia"/>
          <w:snapToGrid w:val="0"/>
          <w:color w:val="auto"/>
          <w:kern w:val="0"/>
          <w:sz w:val="32"/>
          <w:szCs w:val="32"/>
        </w:rPr>
        <w:t>沟通，切实落实</w:t>
      </w:r>
      <w:r>
        <w:rPr>
          <w:snapToGrid w:val="0"/>
          <w:color w:val="auto"/>
          <w:kern w:val="0"/>
          <w:sz w:val="32"/>
          <w:szCs w:val="32"/>
        </w:rPr>
        <w:t>国家</w:t>
      </w:r>
      <w:r>
        <w:rPr>
          <w:rFonts w:hint="eastAsia"/>
          <w:snapToGrid w:val="0"/>
          <w:color w:val="auto"/>
          <w:kern w:val="0"/>
          <w:sz w:val="32"/>
          <w:szCs w:val="32"/>
        </w:rPr>
        <w:t>和</w:t>
      </w:r>
      <w:r>
        <w:rPr>
          <w:snapToGrid w:val="0"/>
          <w:color w:val="auto"/>
          <w:kern w:val="0"/>
          <w:sz w:val="32"/>
          <w:szCs w:val="32"/>
        </w:rPr>
        <w:t>省委、省政府工作新部署和新要求。</w:t>
      </w:r>
    </w:p>
    <w:p>
      <w:pPr>
        <w:spacing w:line="600" w:lineRule="exact"/>
        <w:ind w:firstLine="630"/>
        <w:rPr>
          <w:color w:val="auto"/>
          <w:sz w:val="32"/>
          <w:szCs w:val="32"/>
        </w:rPr>
      </w:pPr>
      <w:r>
        <w:rPr>
          <w:rFonts w:hint="eastAsia" w:eastAsia="方正楷体_GBK"/>
          <w:color w:val="auto"/>
          <w:sz w:val="32"/>
          <w:szCs w:val="32"/>
          <w:lang w:val="en-US" w:eastAsia="zh-CN"/>
        </w:rPr>
        <w:t>18</w:t>
      </w:r>
      <w:r>
        <w:rPr>
          <w:rFonts w:eastAsia="方正楷体_GBK"/>
          <w:color w:val="auto"/>
          <w:sz w:val="32"/>
          <w:szCs w:val="32"/>
        </w:rPr>
        <w:t>．</w:t>
      </w:r>
      <w:r>
        <w:rPr>
          <w:rFonts w:hint="eastAsia" w:ascii="方正楷体_GBK" w:eastAsia="方正楷体_GBK"/>
          <w:color w:val="auto"/>
          <w:sz w:val="32"/>
          <w:szCs w:val="32"/>
        </w:rPr>
        <w:t>提升城市信用监测水平。</w:t>
      </w:r>
      <w:r>
        <w:rPr>
          <w:rFonts w:hint="eastAsia" w:ascii="方正仿宋_GBK"/>
          <w:color w:val="auto"/>
          <w:sz w:val="32"/>
          <w:szCs w:val="32"/>
        </w:rPr>
        <w:t>按照</w:t>
      </w:r>
      <w:r>
        <w:rPr>
          <w:rFonts w:ascii="方正仿宋_GBK"/>
          <w:color w:val="auto"/>
          <w:sz w:val="32"/>
          <w:szCs w:val="32"/>
        </w:rPr>
        <w:t>国家部署，</w:t>
      </w:r>
      <w:r>
        <w:rPr>
          <w:rFonts w:hint="eastAsia" w:ascii="方正仿宋_GBK"/>
          <w:color w:val="auto"/>
          <w:sz w:val="32"/>
          <w:szCs w:val="32"/>
        </w:rPr>
        <w:t>组织</w:t>
      </w:r>
      <w:r>
        <w:rPr>
          <w:rFonts w:ascii="方正仿宋_GBK"/>
          <w:color w:val="auto"/>
          <w:sz w:val="32"/>
          <w:szCs w:val="32"/>
        </w:rPr>
        <w:t>示范</w:t>
      </w:r>
      <w:r>
        <w:rPr>
          <w:rFonts w:hint="eastAsia" w:ascii="方正仿宋_GBK"/>
          <w:color w:val="auto"/>
          <w:sz w:val="32"/>
          <w:szCs w:val="32"/>
        </w:rPr>
        <w:t>区积极做好后评价工作，组织</w:t>
      </w:r>
      <w:r>
        <w:rPr>
          <w:rFonts w:hint="eastAsia" w:ascii="Times New Roman" w:hAnsi="Times New Roman" w:eastAsia="方正仿宋_GBK" w:cs="Times New Roman"/>
          <w:snapToGrid w:val="0"/>
          <w:color w:val="auto"/>
          <w:kern w:val="0"/>
          <w:sz w:val="32"/>
          <w:szCs w:val="32"/>
        </w:rPr>
        <w:t>相关地区</w:t>
      </w:r>
      <w:r>
        <w:rPr>
          <w:rFonts w:hint="eastAsia" w:ascii="方正仿宋_GBK"/>
          <w:snapToGrid w:val="0"/>
          <w:color w:val="auto"/>
          <w:sz w:val="32"/>
          <w:szCs w:val="32"/>
          <w:lang w:bidi="ar"/>
        </w:rPr>
        <w:t>做好新一轮示范区申报工作，</w:t>
      </w:r>
      <w:r>
        <w:rPr>
          <w:rFonts w:hint="eastAsia" w:ascii="方正仿宋_GBK"/>
          <w:color w:val="auto"/>
          <w:sz w:val="32"/>
          <w:szCs w:val="32"/>
        </w:rPr>
        <w:t>争创全国社会信用体系建设示范区</w:t>
      </w:r>
      <w:r>
        <w:rPr>
          <w:rFonts w:ascii="方正仿宋_GBK"/>
          <w:color w:val="auto"/>
          <w:sz w:val="32"/>
          <w:szCs w:val="32"/>
        </w:rPr>
        <w:t>。</w:t>
      </w:r>
      <w:r>
        <w:rPr>
          <w:rFonts w:hint="eastAsia" w:ascii="方正仿宋_GBK" w:hAnsi="方正仿宋_GBK" w:cs="方正仿宋_GBK"/>
          <w:color w:val="auto"/>
          <w:sz w:val="32"/>
          <w:szCs w:val="32"/>
        </w:rPr>
        <w:t>对照新版《城市信用监测预警指标》及调整变化情况，坚持问题导向改进工作，组织省有关部门（单位）做好业务指导，协助推动各市对标对表抓好落实</w:t>
      </w:r>
      <w:r>
        <w:rPr>
          <w:rFonts w:hint="eastAsia" w:ascii="方正仿宋_GBK"/>
          <w:snapToGrid w:val="0"/>
          <w:color w:val="auto"/>
          <w:sz w:val="32"/>
          <w:szCs w:val="32"/>
          <w:lang w:bidi="ar"/>
        </w:rPr>
        <w:t>，进一步提升城市信用监测排名</w:t>
      </w:r>
      <w:r>
        <w:rPr>
          <w:rFonts w:hint="eastAsia" w:ascii="方正仿宋_GBK"/>
          <w:color w:val="auto"/>
          <w:sz w:val="32"/>
          <w:szCs w:val="32"/>
          <w:lang w:bidi="ar"/>
        </w:rPr>
        <w:t>。</w:t>
      </w:r>
    </w:p>
    <w:p>
      <w:pPr>
        <w:spacing w:line="600" w:lineRule="exact"/>
        <w:ind w:firstLine="630"/>
        <w:rPr>
          <w:color w:val="auto"/>
          <w:sz w:val="32"/>
          <w:szCs w:val="32"/>
        </w:rPr>
      </w:pPr>
      <w:r>
        <w:rPr>
          <w:rFonts w:hint="default" w:ascii="Times New Roman" w:eastAsia="方正楷体_GBK"/>
          <w:color w:val="auto"/>
          <w:sz w:val="32"/>
          <w:szCs w:val="32"/>
          <w:lang w:val="en-US" w:eastAsia="zh-CN"/>
        </w:rPr>
        <w:t>19</w:t>
      </w:r>
      <w:r>
        <w:rPr>
          <w:rFonts w:eastAsia="方正楷体_GBK"/>
          <w:color w:val="auto"/>
          <w:sz w:val="32"/>
          <w:szCs w:val="32"/>
        </w:rPr>
        <w:t>．</w:t>
      </w:r>
      <w:r>
        <w:rPr>
          <w:rFonts w:hint="eastAsia" w:ascii="方正楷体_GBK" w:eastAsia="方正楷体_GBK"/>
          <w:color w:val="auto"/>
          <w:sz w:val="32"/>
          <w:szCs w:val="32"/>
        </w:rPr>
        <w:t>启动“十五五”信用规划研究编制。</w:t>
      </w:r>
      <w:r>
        <w:rPr>
          <w:rFonts w:hint="eastAsia" w:ascii="方正仿宋_GBK" w:hAnsi="方正仿宋_GBK" w:cs="方正仿宋_GBK"/>
          <w:color w:val="auto"/>
          <w:sz w:val="32"/>
          <w:szCs w:val="32"/>
        </w:rPr>
        <w:t>开展《江苏省“十四五”社会信用体系建设规划》实施情况</w:t>
      </w:r>
      <w:r>
        <w:rPr>
          <w:color w:val="auto"/>
          <w:sz w:val="32"/>
          <w:szCs w:val="32"/>
        </w:rPr>
        <w:t>评估。</w:t>
      </w:r>
      <w:r>
        <w:rPr>
          <w:rFonts w:hint="eastAsia"/>
          <w:color w:val="auto"/>
          <w:sz w:val="32"/>
          <w:szCs w:val="32"/>
        </w:rPr>
        <w:t>前瞻性、系统化开展</w:t>
      </w:r>
      <w:r>
        <w:rPr>
          <w:rFonts w:hint="eastAsia" w:ascii="方正仿宋_GBK" w:hAnsi="方正仿宋_GBK" w:cs="方正仿宋_GBK"/>
          <w:color w:val="auto"/>
          <w:sz w:val="32"/>
          <w:szCs w:val="32"/>
        </w:rPr>
        <w:t>“十五五”信用规划研究编制工作，</w:t>
      </w:r>
      <w:r>
        <w:rPr>
          <w:rFonts w:hint="eastAsia"/>
          <w:color w:val="auto"/>
          <w:sz w:val="32"/>
          <w:szCs w:val="32"/>
        </w:rPr>
        <w:t>按计划完成初稿和</w:t>
      </w:r>
      <w:r>
        <w:rPr>
          <w:color w:val="auto"/>
          <w:sz w:val="32"/>
          <w:szCs w:val="32"/>
        </w:rPr>
        <w:t>征求意见</w:t>
      </w:r>
      <w:r>
        <w:rPr>
          <w:rFonts w:hint="eastAsia"/>
          <w:color w:val="auto"/>
          <w:sz w:val="32"/>
          <w:szCs w:val="32"/>
        </w:rPr>
        <w:t>等</w:t>
      </w:r>
      <w:r>
        <w:rPr>
          <w:color w:val="auto"/>
          <w:sz w:val="32"/>
          <w:szCs w:val="32"/>
        </w:rPr>
        <w:t>工作</w:t>
      </w:r>
      <w:r>
        <w:rPr>
          <w:rFonts w:hint="eastAsia"/>
          <w:color w:val="auto"/>
          <w:sz w:val="32"/>
          <w:szCs w:val="32"/>
        </w:rPr>
        <w:t>。</w:t>
      </w:r>
      <w:r>
        <w:rPr>
          <w:color w:val="auto"/>
          <w:sz w:val="32"/>
          <w:szCs w:val="32"/>
        </w:rPr>
        <w:t>指导</w:t>
      </w:r>
      <w:r>
        <w:rPr>
          <w:rFonts w:hint="eastAsia"/>
          <w:color w:val="auto"/>
          <w:sz w:val="32"/>
          <w:szCs w:val="32"/>
        </w:rPr>
        <w:t>有关部门和地区结合实际</w:t>
      </w:r>
      <w:r>
        <w:rPr>
          <w:color w:val="auto"/>
          <w:sz w:val="32"/>
          <w:szCs w:val="32"/>
        </w:rPr>
        <w:t>编制</w:t>
      </w:r>
      <w:r>
        <w:rPr>
          <w:rFonts w:hint="eastAsia" w:ascii="方正仿宋_GBK"/>
          <w:color w:val="auto"/>
          <w:sz w:val="32"/>
          <w:szCs w:val="32"/>
        </w:rPr>
        <w:t>“十五五”社</w:t>
      </w:r>
      <w:r>
        <w:rPr>
          <w:color w:val="auto"/>
          <w:sz w:val="32"/>
          <w:szCs w:val="32"/>
        </w:rPr>
        <w:t>会信用体系建设规划。</w:t>
      </w:r>
    </w:p>
    <w:p>
      <w:pPr>
        <w:autoSpaceDE w:val="0"/>
        <w:autoSpaceDN w:val="0"/>
        <w:spacing w:line="580" w:lineRule="exact"/>
        <w:ind w:firstLine="630"/>
        <w:rPr>
          <w:snapToGrid w:val="0"/>
          <w:color w:val="auto"/>
          <w:kern w:val="0"/>
          <w:sz w:val="32"/>
          <w:szCs w:val="32"/>
        </w:rPr>
      </w:pPr>
      <w:r>
        <w:rPr>
          <w:rFonts w:hint="default" w:ascii="Times New Roman" w:eastAsia="方正楷体_GBK"/>
          <w:color w:val="auto"/>
          <w:sz w:val="32"/>
          <w:szCs w:val="32"/>
          <w:lang w:val="en-US" w:eastAsia="zh-CN"/>
        </w:rPr>
        <w:t>20</w:t>
      </w:r>
      <w:r>
        <w:rPr>
          <w:rFonts w:eastAsia="方正楷体_GBK"/>
          <w:color w:val="auto"/>
          <w:sz w:val="32"/>
          <w:szCs w:val="32"/>
        </w:rPr>
        <w:t>．</w:t>
      </w:r>
      <w:r>
        <w:rPr>
          <w:rFonts w:hint="eastAsia" w:ascii="方正楷体_GBK" w:eastAsia="方正楷体_GBK"/>
          <w:color w:val="auto"/>
          <w:sz w:val="32"/>
          <w:szCs w:val="32"/>
        </w:rPr>
        <w:t>加强诚信宣传教育。</w:t>
      </w:r>
      <w:r>
        <w:rPr>
          <w:rFonts w:hint="eastAsia"/>
          <w:color w:val="auto"/>
          <w:sz w:val="32"/>
          <w:szCs w:val="32"/>
        </w:rPr>
        <w:t>充分利用“信用江苏”网站宣传社会信用体系建设新政策、新举措、新</w:t>
      </w:r>
      <w:r>
        <w:rPr>
          <w:rFonts w:hint="eastAsia" w:ascii="方正仿宋_GBK" w:hAnsi="方正仿宋_GBK" w:cs="方正仿宋_GBK"/>
          <w:color w:val="auto"/>
          <w:sz w:val="32"/>
          <w:szCs w:val="32"/>
        </w:rPr>
        <w:t>成效，开设“信用学堂”宣传教育专栏，打造线上学习窗口。加大政策宣讲力度，大力普及信用知识，宣传信用修复渠</w:t>
      </w:r>
      <w:r>
        <w:rPr>
          <w:color w:val="auto"/>
          <w:sz w:val="32"/>
          <w:szCs w:val="32"/>
        </w:rPr>
        <w:t>道程序</w:t>
      </w:r>
      <w:r>
        <w:rPr>
          <w:rFonts w:hint="eastAsia"/>
          <w:color w:val="auto"/>
          <w:sz w:val="32"/>
          <w:szCs w:val="32"/>
        </w:rPr>
        <w:t>，推广传播</w:t>
      </w:r>
      <w:r>
        <w:rPr>
          <w:color w:val="auto"/>
          <w:sz w:val="32"/>
          <w:szCs w:val="32"/>
        </w:rPr>
        <w:t>守信</w:t>
      </w:r>
      <w:r>
        <w:rPr>
          <w:rFonts w:hint="eastAsia"/>
          <w:color w:val="auto"/>
          <w:sz w:val="32"/>
          <w:szCs w:val="32"/>
        </w:rPr>
        <w:t>激</w:t>
      </w:r>
      <w:r>
        <w:rPr>
          <w:color w:val="auto"/>
          <w:sz w:val="32"/>
          <w:szCs w:val="32"/>
        </w:rPr>
        <w:t>励、失信惩戒相关</w:t>
      </w:r>
      <w:r>
        <w:rPr>
          <w:rFonts w:hint="eastAsia"/>
          <w:color w:val="auto"/>
          <w:sz w:val="32"/>
          <w:szCs w:val="32"/>
        </w:rPr>
        <w:t>政策</w:t>
      </w:r>
      <w:r>
        <w:rPr>
          <w:color w:val="auto"/>
          <w:sz w:val="32"/>
          <w:szCs w:val="32"/>
        </w:rPr>
        <w:t>，提升企业法人和社会公众信用管理理念，提升全社会信用管理水平</w:t>
      </w:r>
      <w:r>
        <w:rPr>
          <w:rFonts w:hint="eastAsia"/>
          <w:color w:val="auto"/>
          <w:sz w:val="32"/>
          <w:szCs w:val="32"/>
        </w:rPr>
        <w:t>。</w:t>
      </w:r>
      <w:r>
        <w:rPr>
          <w:color w:val="auto"/>
          <w:sz w:val="32"/>
          <w:szCs w:val="32"/>
        </w:rPr>
        <w:t>积极选</w:t>
      </w:r>
      <w:r>
        <w:rPr>
          <w:rFonts w:hint="eastAsia" w:ascii="方正仿宋_GBK" w:hAnsi="方正仿宋_GBK" w:cs="方正仿宋_GBK"/>
          <w:color w:val="auto"/>
          <w:sz w:val="32"/>
          <w:szCs w:val="32"/>
        </w:rPr>
        <w:t>树“诚信之星”</w:t>
      </w:r>
      <w:r>
        <w:rPr>
          <w:color w:val="auto"/>
          <w:sz w:val="32"/>
          <w:szCs w:val="32"/>
        </w:rPr>
        <w:t>等守信典型，用榜样的鲜活故事引领全社会重信守诺。</w:t>
      </w:r>
    </w:p>
    <w:sectPr>
      <w:headerReference r:id="rId7" w:type="first"/>
      <w:headerReference r:id="rId5" w:type="default"/>
      <w:footerReference r:id="rId8" w:type="default"/>
      <w:headerReference r:id="rId6" w:type="even"/>
      <w:footerReference r:id="rId9" w:type="even"/>
      <w:pgSz w:w="11906" w:h="16838"/>
      <w:pgMar w:top="1814" w:right="1531" w:bottom="1984" w:left="1531" w:header="720" w:footer="1474" w:gutter="0"/>
      <w:pgNumType w:start="1"/>
      <w:cols w:space="720" w:num="1"/>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2000000000000000000"/>
    <w:charset w:val="86"/>
    <w:family w:val="auto"/>
    <w:pitch w:val="default"/>
    <w:sig w:usb0="A00002BF" w:usb1="38CF7CFA" w:usb2="00082016"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 xml:space="preserve">— </w:t>
    </w:r>
    <w:r>
      <w:fldChar w:fldCharType="begin"/>
    </w:r>
    <w:r>
      <w:instrText xml:space="preserve"> PAGE </w:instrText>
    </w:r>
    <w:r>
      <w:fldChar w:fldCharType="separate"/>
    </w:r>
    <w:r>
      <w:t>9</w:t>
    </w:r>
    <w:r>
      <w:fldChar w:fldCharType="end"/>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 xml:space="preserve">— </w:t>
    </w:r>
    <w:r>
      <w:fldChar w:fldCharType="begin"/>
    </w:r>
    <w:r>
      <w:instrText xml:space="preserve"> PAGE </w:instrText>
    </w:r>
    <w:r>
      <w:fldChar w:fldCharType="separate"/>
    </w:r>
    <w:r>
      <w:t>2</w:t>
    </w:r>
    <w:r>
      <w:fldChar w:fldCharType="end"/>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embedSystemFonts/>
  <w:bordersDoNotSurroundHeader w:val="1"/>
  <w:bordersDoNotSurroundFooter w:val="1"/>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drawingGridHorizontalSpacing w:val="315"/>
  <w:drawingGridVerticalSpacing w:val="295"/>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MDE0MWFlNTUyZWFjOGQyMmYxNDAyNDQzNjQwYWUifQ=="/>
  </w:docVars>
  <w:rsids>
    <w:rsidRoot w:val="008B782B"/>
    <w:rsid w:val="0000625B"/>
    <w:rsid w:val="00021510"/>
    <w:rsid w:val="000257E1"/>
    <w:rsid w:val="0003561E"/>
    <w:rsid w:val="00037BE4"/>
    <w:rsid w:val="00066DA4"/>
    <w:rsid w:val="0007791F"/>
    <w:rsid w:val="00081F23"/>
    <w:rsid w:val="00095223"/>
    <w:rsid w:val="000A41FE"/>
    <w:rsid w:val="000D1F42"/>
    <w:rsid w:val="000F0DC3"/>
    <w:rsid w:val="000F42B7"/>
    <w:rsid w:val="00127D2A"/>
    <w:rsid w:val="00130710"/>
    <w:rsid w:val="00141D7E"/>
    <w:rsid w:val="001449E0"/>
    <w:rsid w:val="00194796"/>
    <w:rsid w:val="001A1544"/>
    <w:rsid w:val="001A1B7F"/>
    <w:rsid w:val="001C1956"/>
    <w:rsid w:val="001C7A78"/>
    <w:rsid w:val="001C7F07"/>
    <w:rsid w:val="001D0EC1"/>
    <w:rsid w:val="001E334C"/>
    <w:rsid w:val="00235AA2"/>
    <w:rsid w:val="002414F3"/>
    <w:rsid w:val="002649EE"/>
    <w:rsid w:val="00265433"/>
    <w:rsid w:val="00273FF5"/>
    <w:rsid w:val="00282E18"/>
    <w:rsid w:val="002948D1"/>
    <w:rsid w:val="002A161E"/>
    <w:rsid w:val="002A3FD9"/>
    <w:rsid w:val="002B3B1F"/>
    <w:rsid w:val="002B78AC"/>
    <w:rsid w:val="002D23B4"/>
    <w:rsid w:val="002D4100"/>
    <w:rsid w:val="002D7808"/>
    <w:rsid w:val="002E4ADF"/>
    <w:rsid w:val="002E7396"/>
    <w:rsid w:val="002F1005"/>
    <w:rsid w:val="00302AF1"/>
    <w:rsid w:val="00304680"/>
    <w:rsid w:val="00317D85"/>
    <w:rsid w:val="00331DAB"/>
    <w:rsid w:val="003422B6"/>
    <w:rsid w:val="00350462"/>
    <w:rsid w:val="00356DC8"/>
    <w:rsid w:val="00382609"/>
    <w:rsid w:val="00393F24"/>
    <w:rsid w:val="003B771E"/>
    <w:rsid w:val="003C055F"/>
    <w:rsid w:val="003F29B7"/>
    <w:rsid w:val="003F631F"/>
    <w:rsid w:val="00403145"/>
    <w:rsid w:val="00413E0D"/>
    <w:rsid w:val="0041436C"/>
    <w:rsid w:val="00420AC0"/>
    <w:rsid w:val="00436F30"/>
    <w:rsid w:val="00440FF0"/>
    <w:rsid w:val="004418CE"/>
    <w:rsid w:val="00456DB8"/>
    <w:rsid w:val="00466998"/>
    <w:rsid w:val="00474D28"/>
    <w:rsid w:val="004B44FB"/>
    <w:rsid w:val="004C7F54"/>
    <w:rsid w:val="00501959"/>
    <w:rsid w:val="005050B9"/>
    <w:rsid w:val="00513E33"/>
    <w:rsid w:val="00517F9E"/>
    <w:rsid w:val="005219C9"/>
    <w:rsid w:val="005311C2"/>
    <w:rsid w:val="00540914"/>
    <w:rsid w:val="00544536"/>
    <w:rsid w:val="005474C2"/>
    <w:rsid w:val="00564C89"/>
    <w:rsid w:val="00590358"/>
    <w:rsid w:val="005942B6"/>
    <w:rsid w:val="00595565"/>
    <w:rsid w:val="00596612"/>
    <w:rsid w:val="005A2448"/>
    <w:rsid w:val="005A25B4"/>
    <w:rsid w:val="005B439E"/>
    <w:rsid w:val="005C2BFB"/>
    <w:rsid w:val="005D675A"/>
    <w:rsid w:val="005E6EE6"/>
    <w:rsid w:val="00611906"/>
    <w:rsid w:val="00621A6E"/>
    <w:rsid w:val="00624E7B"/>
    <w:rsid w:val="00634CC4"/>
    <w:rsid w:val="006369C2"/>
    <w:rsid w:val="006433EE"/>
    <w:rsid w:val="006866EB"/>
    <w:rsid w:val="006A0372"/>
    <w:rsid w:val="006B06EC"/>
    <w:rsid w:val="006B0C36"/>
    <w:rsid w:val="006B43C0"/>
    <w:rsid w:val="006B599E"/>
    <w:rsid w:val="006F1A7C"/>
    <w:rsid w:val="0070178E"/>
    <w:rsid w:val="007156D9"/>
    <w:rsid w:val="00720953"/>
    <w:rsid w:val="00723E51"/>
    <w:rsid w:val="007378FE"/>
    <w:rsid w:val="00765B41"/>
    <w:rsid w:val="00794F6B"/>
    <w:rsid w:val="00796E88"/>
    <w:rsid w:val="00797887"/>
    <w:rsid w:val="00797E56"/>
    <w:rsid w:val="007D4D6C"/>
    <w:rsid w:val="007D6DCF"/>
    <w:rsid w:val="0080064C"/>
    <w:rsid w:val="00801CD0"/>
    <w:rsid w:val="0083143C"/>
    <w:rsid w:val="008378C7"/>
    <w:rsid w:val="0084036C"/>
    <w:rsid w:val="00864FBD"/>
    <w:rsid w:val="00883E93"/>
    <w:rsid w:val="008B782B"/>
    <w:rsid w:val="008C0DF8"/>
    <w:rsid w:val="008C3D6E"/>
    <w:rsid w:val="008E2665"/>
    <w:rsid w:val="008F4FE9"/>
    <w:rsid w:val="009054D9"/>
    <w:rsid w:val="00911C08"/>
    <w:rsid w:val="00916B52"/>
    <w:rsid w:val="00920D22"/>
    <w:rsid w:val="009408E8"/>
    <w:rsid w:val="00940F1A"/>
    <w:rsid w:val="009549C1"/>
    <w:rsid w:val="009550CC"/>
    <w:rsid w:val="009560E7"/>
    <w:rsid w:val="009566B9"/>
    <w:rsid w:val="009668A1"/>
    <w:rsid w:val="009772BB"/>
    <w:rsid w:val="00983AE0"/>
    <w:rsid w:val="00986936"/>
    <w:rsid w:val="00992931"/>
    <w:rsid w:val="009A0AFA"/>
    <w:rsid w:val="009B49FE"/>
    <w:rsid w:val="009E203A"/>
    <w:rsid w:val="009E56DE"/>
    <w:rsid w:val="009F224E"/>
    <w:rsid w:val="009F45A4"/>
    <w:rsid w:val="009F7041"/>
    <w:rsid w:val="009F736F"/>
    <w:rsid w:val="00A00E5A"/>
    <w:rsid w:val="00A62566"/>
    <w:rsid w:val="00A75CCF"/>
    <w:rsid w:val="00A81828"/>
    <w:rsid w:val="00A90B3B"/>
    <w:rsid w:val="00AA05EE"/>
    <w:rsid w:val="00AA10FC"/>
    <w:rsid w:val="00AB0AC5"/>
    <w:rsid w:val="00AC2097"/>
    <w:rsid w:val="00AC35DF"/>
    <w:rsid w:val="00AE7E9B"/>
    <w:rsid w:val="00B010A7"/>
    <w:rsid w:val="00B1349D"/>
    <w:rsid w:val="00B14A1D"/>
    <w:rsid w:val="00B3061B"/>
    <w:rsid w:val="00B40312"/>
    <w:rsid w:val="00B53498"/>
    <w:rsid w:val="00B53819"/>
    <w:rsid w:val="00B5411F"/>
    <w:rsid w:val="00B63E55"/>
    <w:rsid w:val="00B93D1C"/>
    <w:rsid w:val="00B94C88"/>
    <w:rsid w:val="00BA720C"/>
    <w:rsid w:val="00BB4C14"/>
    <w:rsid w:val="00BB6BF0"/>
    <w:rsid w:val="00BF7A5C"/>
    <w:rsid w:val="00C00F93"/>
    <w:rsid w:val="00C02304"/>
    <w:rsid w:val="00C03468"/>
    <w:rsid w:val="00C0698D"/>
    <w:rsid w:val="00C13906"/>
    <w:rsid w:val="00C25892"/>
    <w:rsid w:val="00C2786E"/>
    <w:rsid w:val="00C30E36"/>
    <w:rsid w:val="00C34647"/>
    <w:rsid w:val="00C3669E"/>
    <w:rsid w:val="00C66011"/>
    <w:rsid w:val="00C7410D"/>
    <w:rsid w:val="00C77623"/>
    <w:rsid w:val="00C77F62"/>
    <w:rsid w:val="00C905C4"/>
    <w:rsid w:val="00C92268"/>
    <w:rsid w:val="00C976C7"/>
    <w:rsid w:val="00CD1236"/>
    <w:rsid w:val="00CD24F8"/>
    <w:rsid w:val="00CE6806"/>
    <w:rsid w:val="00CF66BC"/>
    <w:rsid w:val="00D0018C"/>
    <w:rsid w:val="00D22A16"/>
    <w:rsid w:val="00D34C25"/>
    <w:rsid w:val="00D36901"/>
    <w:rsid w:val="00D50E01"/>
    <w:rsid w:val="00D61D78"/>
    <w:rsid w:val="00D655BE"/>
    <w:rsid w:val="00D673A3"/>
    <w:rsid w:val="00DB281B"/>
    <w:rsid w:val="00DB5542"/>
    <w:rsid w:val="00DB7007"/>
    <w:rsid w:val="00DD1B35"/>
    <w:rsid w:val="00DE34AA"/>
    <w:rsid w:val="00DF009F"/>
    <w:rsid w:val="00DF6CB7"/>
    <w:rsid w:val="00E02B4B"/>
    <w:rsid w:val="00E24360"/>
    <w:rsid w:val="00E3313A"/>
    <w:rsid w:val="00E50298"/>
    <w:rsid w:val="00E633F0"/>
    <w:rsid w:val="00E66AFB"/>
    <w:rsid w:val="00E86B19"/>
    <w:rsid w:val="00E9651C"/>
    <w:rsid w:val="00EA23FE"/>
    <w:rsid w:val="00EA4A9D"/>
    <w:rsid w:val="00EA6DE5"/>
    <w:rsid w:val="00EC2015"/>
    <w:rsid w:val="00EE474A"/>
    <w:rsid w:val="00EE5ED9"/>
    <w:rsid w:val="00EE6810"/>
    <w:rsid w:val="00F112B8"/>
    <w:rsid w:val="00F20A8A"/>
    <w:rsid w:val="00F24ABD"/>
    <w:rsid w:val="00F261B5"/>
    <w:rsid w:val="00F43CCB"/>
    <w:rsid w:val="00F43DDD"/>
    <w:rsid w:val="00F55E45"/>
    <w:rsid w:val="00FC78BA"/>
    <w:rsid w:val="00FE7C26"/>
    <w:rsid w:val="00FF78BF"/>
    <w:rsid w:val="02587777"/>
    <w:rsid w:val="02681547"/>
    <w:rsid w:val="03AE6494"/>
    <w:rsid w:val="03AF191B"/>
    <w:rsid w:val="03C449CC"/>
    <w:rsid w:val="03D867A6"/>
    <w:rsid w:val="040542B1"/>
    <w:rsid w:val="0448032E"/>
    <w:rsid w:val="04917A71"/>
    <w:rsid w:val="04CE3D2E"/>
    <w:rsid w:val="04E92477"/>
    <w:rsid w:val="04FE4606"/>
    <w:rsid w:val="05492874"/>
    <w:rsid w:val="05D810C5"/>
    <w:rsid w:val="05DD246D"/>
    <w:rsid w:val="062F01EC"/>
    <w:rsid w:val="06383406"/>
    <w:rsid w:val="067D155B"/>
    <w:rsid w:val="07C22E70"/>
    <w:rsid w:val="0803268C"/>
    <w:rsid w:val="08410874"/>
    <w:rsid w:val="08FA42D7"/>
    <w:rsid w:val="09C6146A"/>
    <w:rsid w:val="0A3B6446"/>
    <w:rsid w:val="0B4C04EE"/>
    <w:rsid w:val="0B56612F"/>
    <w:rsid w:val="0B797694"/>
    <w:rsid w:val="0B7C0033"/>
    <w:rsid w:val="0B7D714C"/>
    <w:rsid w:val="0BEE3E12"/>
    <w:rsid w:val="0C564D28"/>
    <w:rsid w:val="0CAD6B3C"/>
    <w:rsid w:val="0CC76B39"/>
    <w:rsid w:val="0CCC4FEA"/>
    <w:rsid w:val="0D38442D"/>
    <w:rsid w:val="0DC3249E"/>
    <w:rsid w:val="0DDE3227"/>
    <w:rsid w:val="0E073C1E"/>
    <w:rsid w:val="0F751969"/>
    <w:rsid w:val="0FD146C5"/>
    <w:rsid w:val="104D4BF4"/>
    <w:rsid w:val="10860438"/>
    <w:rsid w:val="110B3BBF"/>
    <w:rsid w:val="115826B5"/>
    <w:rsid w:val="11A976A8"/>
    <w:rsid w:val="11EF06C7"/>
    <w:rsid w:val="129B6365"/>
    <w:rsid w:val="12A019F6"/>
    <w:rsid w:val="138945D7"/>
    <w:rsid w:val="13FD7888"/>
    <w:rsid w:val="1521120D"/>
    <w:rsid w:val="15BD5E17"/>
    <w:rsid w:val="15DD5B72"/>
    <w:rsid w:val="166E0EC0"/>
    <w:rsid w:val="167DCD47"/>
    <w:rsid w:val="16F07B27"/>
    <w:rsid w:val="171C3605"/>
    <w:rsid w:val="1784215E"/>
    <w:rsid w:val="18113895"/>
    <w:rsid w:val="18401782"/>
    <w:rsid w:val="18A312F5"/>
    <w:rsid w:val="19424FD3"/>
    <w:rsid w:val="19934A78"/>
    <w:rsid w:val="19BA614A"/>
    <w:rsid w:val="1A0A0E60"/>
    <w:rsid w:val="1A3B37AF"/>
    <w:rsid w:val="1A3B6F49"/>
    <w:rsid w:val="1A5947EE"/>
    <w:rsid w:val="1A790621"/>
    <w:rsid w:val="1B1F09DB"/>
    <w:rsid w:val="1C9546DF"/>
    <w:rsid w:val="1D2F4AC8"/>
    <w:rsid w:val="1D3249F5"/>
    <w:rsid w:val="1E672BF1"/>
    <w:rsid w:val="1EA062D6"/>
    <w:rsid w:val="1EEF7500"/>
    <w:rsid w:val="1F77211F"/>
    <w:rsid w:val="209B2B33"/>
    <w:rsid w:val="20B47E17"/>
    <w:rsid w:val="20F546B7"/>
    <w:rsid w:val="212A21F1"/>
    <w:rsid w:val="21424A7E"/>
    <w:rsid w:val="216259EA"/>
    <w:rsid w:val="220E43D2"/>
    <w:rsid w:val="22DD4148"/>
    <w:rsid w:val="22F137D2"/>
    <w:rsid w:val="238E494F"/>
    <w:rsid w:val="23C90406"/>
    <w:rsid w:val="24260728"/>
    <w:rsid w:val="242750F1"/>
    <w:rsid w:val="248747E5"/>
    <w:rsid w:val="25845E08"/>
    <w:rsid w:val="25950217"/>
    <w:rsid w:val="25B04960"/>
    <w:rsid w:val="25C40AFC"/>
    <w:rsid w:val="26814B6E"/>
    <w:rsid w:val="268A58A2"/>
    <w:rsid w:val="26DB4E49"/>
    <w:rsid w:val="27BFA941"/>
    <w:rsid w:val="27CA784B"/>
    <w:rsid w:val="283D06F2"/>
    <w:rsid w:val="28B55CF9"/>
    <w:rsid w:val="28CA317E"/>
    <w:rsid w:val="298437DA"/>
    <w:rsid w:val="29F924A3"/>
    <w:rsid w:val="2A4B17EC"/>
    <w:rsid w:val="2A9E122B"/>
    <w:rsid w:val="2AB729DE"/>
    <w:rsid w:val="2B1D6617"/>
    <w:rsid w:val="2B2426AA"/>
    <w:rsid w:val="2B5E50ED"/>
    <w:rsid w:val="2C5A79A9"/>
    <w:rsid w:val="2C7A1F15"/>
    <w:rsid w:val="2C8D1C48"/>
    <w:rsid w:val="2CE81574"/>
    <w:rsid w:val="2CEF46B1"/>
    <w:rsid w:val="2D5D55F0"/>
    <w:rsid w:val="2D7B5F44"/>
    <w:rsid w:val="2DCA6AA5"/>
    <w:rsid w:val="2E385708"/>
    <w:rsid w:val="2E803F8C"/>
    <w:rsid w:val="2E8224BA"/>
    <w:rsid w:val="2F05640D"/>
    <w:rsid w:val="2F8E4119"/>
    <w:rsid w:val="2FF9238E"/>
    <w:rsid w:val="30910C6A"/>
    <w:rsid w:val="30A10788"/>
    <w:rsid w:val="31BD4C5C"/>
    <w:rsid w:val="322038BC"/>
    <w:rsid w:val="3226250B"/>
    <w:rsid w:val="32E26A66"/>
    <w:rsid w:val="336B72C5"/>
    <w:rsid w:val="33791178"/>
    <w:rsid w:val="343F2D95"/>
    <w:rsid w:val="348002E4"/>
    <w:rsid w:val="34827329"/>
    <w:rsid w:val="3491429F"/>
    <w:rsid w:val="34AC10D9"/>
    <w:rsid w:val="34C14813"/>
    <w:rsid w:val="352A0E4D"/>
    <w:rsid w:val="3544552C"/>
    <w:rsid w:val="35616DB9"/>
    <w:rsid w:val="357557AE"/>
    <w:rsid w:val="35C56CF1"/>
    <w:rsid w:val="35D9549C"/>
    <w:rsid w:val="36E032BC"/>
    <w:rsid w:val="375D5DB0"/>
    <w:rsid w:val="379D7BCF"/>
    <w:rsid w:val="37DD1317"/>
    <w:rsid w:val="380172A9"/>
    <w:rsid w:val="38B03902"/>
    <w:rsid w:val="38C70290"/>
    <w:rsid w:val="38CE66F1"/>
    <w:rsid w:val="391E4A2F"/>
    <w:rsid w:val="39ED7C07"/>
    <w:rsid w:val="39FA28E7"/>
    <w:rsid w:val="3A3000B7"/>
    <w:rsid w:val="3A9F2410"/>
    <w:rsid w:val="3AAA60BB"/>
    <w:rsid w:val="3B5F1DAF"/>
    <w:rsid w:val="3BFF9EDB"/>
    <w:rsid w:val="3C5753BF"/>
    <w:rsid w:val="3D592046"/>
    <w:rsid w:val="3D89028D"/>
    <w:rsid w:val="3ECC07B3"/>
    <w:rsid w:val="3EDD65C4"/>
    <w:rsid w:val="3F1B3EE5"/>
    <w:rsid w:val="3F2A2EB3"/>
    <w:rsid w:val="3F8A64BB"/>
    <w:rsid w:val="3F8F4296"/>
    <w:rsid w:val="3F991855"/>
    <w:rsid w:val="40472FBD"/>
    <w:rsid w:val="404E5B8A"/>
    <w:rsid w:val="40D61B7B"/>
    <w:rsid w:val="41513B1B"/>
    <w:rsid w:val="41652D3C"/>
    <w:rsid w:val="41682EC5"/>
    <w:rsid w:val="419B6B6C"/>
    <w:rsid w:val="41BD0482"/>
    <w:rsid w:val="42840754"/>
    <w:rsid w:val="432D22A6"/>
    <w:rsid w:val="43D96703"/>
    <w:rsid w:val="43FB34E3"/>
    <w:rsid w:val="446004D1"/>
    <w:rsid w:val="4487620F"/>
    <w:rsid w:val="44EA2395"/>
    <w:rsid w:val="452F5F32"/>
    <w:rsid w:val="45665BF5"/>
    <w:rsid w:val="45B918A8"/>
    <w:rsid w:val="47685334"/>
    <w:rsid w:val="47DE73A4"/>
    <w:rsid w:val="47E86474"/>
    <w:rsid w:val="481C7E63"/>
    <w:rsid w:val="48A95C04"/>
    <w:rsid w:val="49836E60"/>
    <w:rsid w:val="4A070C7A"/>
    <w:rsid w:val="4B693428"/>
    <w:rsid w:val="4BC62629"/>
    <w:rsid w:val="4CD07C57"/>
    <w:rsid w:val="4D5B106D"/>
    <w:rsid w:val="4DBF38F6"/>
    <w:rsid w:val="4DF27705"/>
    <w:rsid w:val="4E263853"/>
    <w:rsid w:val="4E487C6D"/>
    <w:rsid w:val="4F1E7971"/>
    <w:rsid w:val="4F2D3D31"/>
    <w:rsid w:val="4FD8449C"/>
    <w:rsid w:val="50437BF7"/>
    <w:rsid w:val="5057022E"/>
    <w:rsid w:val="507C33BE"/>
    <w:rsid w:val="508456FE"/>
    <w:rsid w:val="50CF01D2"/>
    <w:rsid w:val="50EA0B67"/>
    <w:rsid w:val="51955C6E"/>
    <w:rsid w:val="522E157A"/>
    <w:rsid w:val="525D1386"/>
    <w:rsid w:val="529D0177"/>
    <w:rsid w:val="52A71753"/>
    <w:rsid w:val="52EF06B7"/>
    <w:rsid w:val="54B614FB"/>
    <w:rsid w:val="550D3076"/>
    <w:rsid w:val="55C043C7"/>
    <w:rsid w:val="57B79B30"/>
    <w:rsid w:val="584119B5"/>
    <w:rsid w:val="58AE4B70"/>
    <w:rsid w:val="58D32C70"/>
    <w:rsid w:val="592A2449"/>
    <w:rsid w:val="593C5E02"/>
    <w:rsid w:val="59D24990"/>
    <w:rsid w:val="59EF3692"/>
    <w:rsid w:val="5A0C0B6B"/>
    <w:rsid w:val="5B430914"/>
    <w:rsid w:val="5BA22477"/>
    <w:rsid w:val="5C343A5B"/>
    <w:rsid w:val="5DAC2BAF"/>
    <w:rsid w:val="5DFFBFD0"/>
    <w:rsid w:val="5E7F1C49"/>
    <w:rsid w:val="5E851237"/>
    <w:rsid w:val="5F84662B"/>
    <w:rsid w:val="600D03CE"/>
    <w:rsid w:val="605E6E7C"/>
    <w:rsid w:val="611C2FBF"/>
    <w:rsid w:val="6235266D"/>
    <w:rsid w:val="626F2BDD"/>
    <w:rsid w:val="63167CA4"/>
    <w:rsid w:val="632C14B3"/>
    <w:rsid w:val="632C488A"/>
    <w:rsid w:val="632E4E68"/>
    <w:rsid w:val="63612F0B"/>
    <w:rsid w:val="63A310CA"/>
    <w:rsid w:val="63A920BB"/>
    <w:rsid w:val="63BE2823"/>
    <w:rsid w:val="64803619"/>
    <w:rsid w:val="64C439BB"/>
    <w:rsid w:val="64E813A0"/>
    <w:rsid w:val="651346D9"/>
    <w:rsid w:val="65A00EC1"/>
    <w:rsid w:val="65AA57AE"/>
    <w:rsid w:val="65CC02B4"/>
    <w:rsid w:val="65F74891"/>
    <w:rsid w:val="66393070"/>
    <w:rsid w:val="668C4743"/>
    <w:rsid w:val="67490214"/>
    <w:rsid w:val="67535261"/>
    <w:rsid w:val="67640B35"/>
    <w:rsid w:val="689421CA"/>
    <w:rsid w:val="690E47B7"/>
    <w:rsid w:val="69164798"/>
    <w:rsid w:val="69A35174"/>
    <w:rsid w:val="69BB70ED"/>
    <w:rsid w:val="69C42446"/>
    <w:rsid w:val="69D21772"/>
    <w:rsid w:val="6A537326"/>
    <w:rsid w:val="6A774738"/>
    <w:rsid w:val="6AAF2264"/>
    <w:rsid w:val="6AC4614D"/>
    <w:rsid w:val="6AEBD681"/>
    <w:rsid w:val="6AF73926"/>
    <w:rsid w:val="6BA3608B"/>
    <w:rsid w:val="6BAE1B57"/>
    <w:rsid w:val="6C5F0283"/>
    <w:rsid w:val="6C7B947E"/>
    <w:rsid w:val="6C934CB5"/>
    <w:rsid w:val="6E313926"/>
    <w:rsid w:val="6E48126C"/>
    <w:rsid w:val="6EF852BE"/>
    <w:rsid w:val="6F1132C2"/>
    <w:rsid w:val="6F7F57D3"/>
    <w:rsid w:val="6FFF0A44"/>
    <w:rsid w:val="702459EC"/>
    <w:rsid w:val="70DC2545"/>
    <w:rsid w:val="71306613"/>
    <w:rsid w:val="718445AA"/>
    <w:rsid w:val="71BE4360"/>
    <w:rsid w:val="724A21DE"/>
    <w:rsid w:val="7276222A"/>
    <w:rsid w:val="727F75AC"/>
    <w:rsid w:val="72F07E08"/>
    <w:rsid w:val="736D7A0C"/>
    <w:rsid w:val="73F8608B"/>
    <w:rsid w:val="7431692A"/>
    <w:rsid w:val="74600FBD"/>
    <w:rsid w:val="7498108D"/>
    <w:rsid w:val="74EC2851"/>
    <w:rsid w:val="74ED70F5"/>
    <w:rsid w:val="754C32EF"/>
    <w:rsid w:val="75D73C30"/>
    <w:rsid w:val="75ED04B3"/>
    <w:rsid w:val="76FCE6BC"/>
    <w:rsid w:val="775C3CBE"/>
    <w:rsid w:val="77B60370"/>
    <w:rsid w:val="77BBEA63"/>
    <w:rsid w:val="77D048F0"/>
    <w:rsid w:val="77F55EC0"/>
    <w:rsid w:val="780674B4"/>
    <w:rsid w:val="78774B27"/>
    <w:rsid w:val="78E34C9A"/>
    <w:rsid w:val="7A472BA5"/>
    <w:rsid w:val="7A7D2B39"/>
    <w:rsid w:val="7A8F43F6"/>
    <w:rsid w:val="7B2046B8"/>
    <w:rsid w:val="7B450F0D"/>
    <w:rsid w:val="7B773162"/>
    <w:rsid w:val="7BAFFE1F"/>
    <w:rsid w:val="7BE7BC91"/>
    <w:rsid w:val="7C427741"/>
    <w:rsid w:val="7C66738C"/>
    <w:rsid w:val="7D7A5AFC"/>
    <w:rsid w:val="7DBB4471"/>
    <w:rsid w:val="7DBF8DF2"/>
    <w:rsid w:val="7DBFB2D6"/>
    <w:rsid w:val="7E76EA51"/>
    <w:rsid w:val="7E817946"/>
    <w:rsid w:val="7EDF1344"/>
    <w:rsid w:val="7F2A6733"/>
    <w:rsid w:val="7F75759D"/>
    <w:rsid w:val="7FD55677"/>
    <w:rsid w:val="7FDDEC88"/>
    <w:rsid w:val="7FDE507A"/>
    <w:rsid w:val="7FFD4B17"/>
    <w:rsid w:val="7FFF1DFF"/>
    <w:rsid w:val="9FCF57F0"/>
    <w:rsid w:val="B3E399E2"/>
    <w:rsid w:val="BBEADF4A"/>
    <w:rsid w:val="BC1F098C"/>
    <w:rsid w:val="C8DF4F15"/>
    <w:rsid w:val="CE2DE9CB"/>
    <w:rsid w:val="CF72587C"/>
    <w:rsid w:val="D7FB451F"/>
    <w:rsid w:val="DEDD7BAF"/>
    <w:rsid w:val="DFDACF46"/>
    <w:rsid w:val="E1F6480A"/>
    <w:rsid w:val="E3DF151B"/>
    <w:rsid w:val="E8EFAC8D"/>
    <w:rsid w:val="E96EE7E0"/>
    <w:rsid w:val="EB7F56F0"/>
    <w:rsid w:val="EBCCC41D"/>
    <w:rsid w:val="EDAF4974"/>
    <w:rsid w:val="EEF97D05"/>
    <w:rsid w:val="EF7B65A2"/>
    <w:rsid w:val="EFDB1F32"/>
    <w:rsid w:val="EFFF4701"/>
    <w:rsid w:val="EFFF7A7F"/>
    <w:rsid w:val="F6AC957D"/>
    <w:rsid w:val="F6CB5F4F"/>
    <w:rsid w:val="F9FDE4B5"/>
    <w:rsid w:val="FD7816ED"/>
    <w:rsid w:val="FD82C079"/>
    <w:rsid w:val="FEADA5A6"/>
    <w:rsid w:val="FF5E9C6E"/>
    <w:rsid w:val="FF9F4592"/>
    <w:rsid w:val="FFD5B401"/>
    <w:rsid w:val="FFF16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qFormat="1"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90" w:lineRule="atLeast"/>
      <w:ind w:firstLine="200" w:firstLineChars="200"/>
      <w:jc w:val="both"/>
    </w:pPr>
    <w:rPr>
      <w:rFonts w:ascii="Times New Roman" w:hAnsi="Times New Roman" w:eastAsia="方正仿宋_GBK" w:cs="Times New Roman"/>
      <w:kern w:val="2"/>
      <w:sz w:val="32"/>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b/>
      <w:bCs/>
      <w:kern w:val="44"/>
      <w:sz w:val="48"/>
      <w:szCs w:val="4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pPr>
    <w:rPr>
      <w:rFonts w:ascii="Calibri" w:hAnsi="Calibri" w:eastAsia="宋体"/>
    </w:rPr>
  </w:style>
  <w:style w:type="paragraph" w:styleId="4">
    <w:name w:val="annotation text"/>
    <w:basedOn w:val="1"/>
    <w:link w:val="25"/>
    <w:semiHidden/>
    <w:unhideWhenUsed/>
    <w:qFormat/>
    <w:uiPriority w:val="0"/>
    <w:pPr>
      <w:jc w:val="left"/>
    </w:pPr>
  </w:style>
  <w:style w:type="paragraph" w:styleId="5">
    <w:name w:val="Body Text"/>
    <w:basedOn w:val="1"/>
    <w:qFormat/>
    <w:uiPriority w:val="0"/>
    <w:rPr>
      <w:rFonts w:hint="eastAsia"/>
    </w:rPr>
  </w:style>
  <w:style w:type="paragraph" w:styleId="6">
    <w:name w:val="Balloon Text"/>
    <w:basedOn w:val="1"/>
    <w:link w:val="23"/>
    <w:semiHidden/>
    <w:unhideWhenUsed/>
    <w:qFormat/>
    <w:uiPriority w:val="0"/>
    <w:pPr>
      <w:spacing w:line="240" w:lineRule="auto"/>
    </w:pPr>
    <w:rPr>
      <w:sz w:val="18"/>
      <w:szCs w:val="18"/>
    </w:rPr>
  </w:style>
  <w:style w:type="paragraph" w:styleId="7">
    <w:name w:val="footer"/>
    <w:basedOn w:val="1"/>
    <w:qFormat/>
    <w:uiPriority w:val="0"/>
    <w:pPr>
      <w:tabs>
        <w:tab w:val="center" w:pos="4153"/>
        <w:tab w:val="right" w:pos="8306"/>
      </w:tabs>
      <w:autoSpaceDE w:val="0"/>
      <w:autoSpaceDN w:val="0"/>
      <w:spacing w:line="400" w:lineRule="atLeast"/>
      <w:ind w:left="320" w:leftChars="100" w:right="320" w:rightChars="100" w:firstLine="0" w:firstLineChars="0"/>
    </w:pPr>
    <w:rPr>
      <w:snapToGrid w:val="0"/>
      <w:kern w:val="0"/>
      <w:sz w:val="28"/>
      <w:szCs w:val="20"/>
    </w:rPr>
  </w:style>
  <w:style w:type="paragraph" w:styleId="8">
    <w:name w:val="header"/>
    <w:basedOn w:val="1"/>
    <w:qFormat/>
    <w:uiPriority w:val="0"/>
    <w:pPr>
      <w:tabs>
        <w:tab w:val="center" w:pos="4153"/>
        <w:tab w:val="right" w:pos="8306"/>
      </w:tabs>
      <w:autoSpaceDE w:val="0"/>
      <w:autoSpaceDN w:val="0"/>
      <w:spacing w:line="240" w:lineRule="atLeast"/>
      <w:jc w:val="right"/>
    </w:pPr>
    <w:rPr>
      <w:snapToGrid w:val="0"/>
      <w:kern w:val="0"/>
      <w:sz w:val="18"/>
      <w:szCs w:val="20"/>
    </w:rPr>
  </w:style>
  <w:style w:type="paragraph" w:styleId="9">
    <w:name w:val="footnote text"/>
    <w:basedOn w:val="1"/>
    <w:semiHidden/>
    <w:unhideWhenUsed/>
    <w:qFormat/>
    <w:uiPriority w:val="0"/>
    <w:pPr>
      <w:snapToGrid w:val="0"/>
      <w:jc w:val="left"/>
    </w:pPr>
    <w:rPr>
      <w:sz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qFormat/>
    <w:uiPriority w:val="0"/>
    <w:pPr>
      <w:spacing w:line="640" w:lineRule="atLeast"/>
      <w:ind w:firstLine="0" w:firstLineChars="0"/>
      <w:jc w:val="center"/>
    </w:pPr>
    <w:rPr>
      <w:rFonts w:ascii="Arial" w:hAnsi="Arial" w:eastAsia="方正小标宋_GBK" w:cs="Arial"/>
      <w:bCs/>
      <w:szCs w:val="32"/>
    </w:rPr>
  </w:style>
  <w:style w:type="paragraph" w:styleId="12">
    <w:name w:val="annotation subject"/>
    <w:basedOn w:val="4"/>
    <w:next w:val="4"/>
    <w:link w:val="26"/>
    <w:semiHidden/>
    <w:unhideWhenUsed/>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semiHidden/>
    <w:unhideWhenUsed/>
    <w:qFormat/>
    <w:uiPriority w:val="0"/>
    <w:rPr>
      <w:sz w:val="21"/>
      <w:szCs w:val="21"/>
    </w:rPr>
  </w:style>
  <w:style w:type="character" w:styleId="17">
    <w:name w:val="footnote reference"/>
    <w:basedOn w:val="15"/>
    <w:semiHidden/>
    <w:unhideWhenUsed/>
    <w:qFormat/>
    <w:uiPriority w:val="0"/>
    <w:rPr>
      <w:vertAlign w:val="superscript"/>
    </w:rPr>
  </w:style>
  <w:style w:type="paragraph" w:customStyle="1" w:styleId="18">
    <w:name w:val="文头"/>
    <w:basedOn w:val="1"/>
    <w:qFormat/>
    <w:uiPriority w:val="0"/>
    <w:pPr>
      <w:autoSpaceDE w:val="0"/>
      <w:autoSpaceDN w:val="0"/>
      <w:spacing w:before="120" w:line="227" w:lineRule="atLeast"/>
      <w:ind w:left="227" w:right="227" w:firstLine="0" w:firstLineChars="0"/>
      <w:jc w:val="distribute"/>
    </w:pPr>
    <w:rPr>
      <w:rFonts w:eastAsia="方正小标宋_GBK"/>
      <w:snapToGrid w:val="0"/>
      <w:color w:val="FF0000"/>
      <w:spacing w:val="36"/>
      <w:w w:val="82"/>
      <w:kern w:val="0"/>
      <w:sz w:val="90"/>
      <w:szCs w:val="20"/>
    </w:rPr>
  </w:style>
  <w:style w:type="paragraph" w:customStyle="1" w:styleId="19">
    <w:name w:val="标题1"/>
    <w:basedOn w:val="11"/>
    <w:qFormat/>
    <w:uiPriority w:val="0"/>
    <w:rPr>
      <w:rFonts w:ascii="Times New Roman" w:hAnsi="Times New Roman"/>
      <w:sz w:val="44"/>
    </w:rPr>
  </w:style>
  <w:style w:type="paragraph" w:customStyle="1" w:styleId="20">
    <w:name w:val="标题2"/>
    <w:basedOn w:val="19"/>
    <w:qFormat/>
    <w:uiPriority w:val="0"/>
    <w:pPr>
      <w:spacing w:line="590" w:lineRule="atLeast"/>
    </w:pPr>
    <w:rPr>
      <w:rFonts w:eastAsia="方正楷体_GBK"/>
      <w:sz w:val="32"/>
    </w:rPr>
  </w:style>
  <w:style w:type="paragraph" w:customStyle="1" w:styleId="21">
    <w:name w:val="标题3"/>
    <w:basedOn w:val="1"/>
    <w:qFormat/>
    <w:uiPriority w:val="0"/>
    <w:rPr>
      <w:rFonts w:eastAsia="方正黑体_GBK"/>
    </w:rPr>
  </w:style>
  <w:style w:type="paragraph" w:styleId="22">
    <w:name w:val="List Paragraph"/>
    <w:basedOn w:val="1"/>
    <w:qFormat/>
    <w:uiPriority w:val="34"/>
    <w:pPr>
      <w:ind w:firstLine="420"/>
    </w:pPr>
  </w:style>
  <w:style w:type="character" w:customStyle="1" w:styleId="23">
    <w:name w:val="批注框文本 Char"/>
    <w:basedOn w:val="15"/>
    <w:link w:val="6"/>
    <w:semiHidden/>
    <w:qFormat/>
    <w:uiPriority w:val="0"/>
    <w:rPr>
      <w:rFonts w:eastAsia="方正仿宋_GBK"/>
      <w:kern w:val="2"/>
      <w:sz w:val="18"/>
      <w:szCs w:val="18"/>
    </w:rPr>
  </w:style>
  <w:style w:type="character" w:customStyle="1" w:styleId="24">
    <w:name w:val="bjh-p"/>
    <w:basedOn w:val="15"/>
    <w:qFormat/>
    <w:uiPriority w:val="0"/>
  </w:style>
  <w:style w:type="character" w:customStyle="1" w:styleId="25">
    <w:name w:val="批注文字 Char"/>
    <w:basedOn w:val="15"/>
    <w:link w:val="4"/>
    <w:semiHidden/>
    <w:qFormat/>
    <w:uiPriority w:val="0"/>
    <w:rPr>
      <w:rFonts w:eastAsia="方正仿宋_GBK"/>
      <w:kern w:val="2"/>
      <w:sz w:val="32"/>
      <w:szCs w:val="24"/>
    </w:rPr>
  </w:style>
  <w:style w:type="character" w:customStyle="1" w:styleId="26">
    <w:name w:val="批注主题 Char"/>
    <w:basedOn w:val="25"/>
    <w:link w:val="12"/>
    <w:semiHidden/>
    <w:qFormat/>
    <w:uiPriority w:val="0"/>
    <w:rPr>
      <w:rFonts w:eastAsia="方正仿宋_GBK"/>
      <w:b/>
      <w:bCs/>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9</Pages>
  <Words>1556</Words>
  <Characters>1562</Characters>
  <Lines>36</Lines>
  <Paragraphs>10</Paragraphs>
  <TotalTime>226</TotalTime>
  <ScaleCrop>false</ScaleCrop>
  <LinksUpToDate>false</LinksUpToDate>
  <CharactersWithSpaces>1565</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2024-07-04T00:38:00Z</dcterms:created>
  <dc:creator>qunzhoul</dc:creator>
  <cp:lastModifiedBy>uos</cp:lastModifiedBy>
  <cp:lastPrinted>2025-04-11T01:45:00Z</cp:lastPrinted>
  <dcterms:modified xsi:type="dcterms:W3CDTF">2025-04-28T19:40:03Z</dcterms:modified>
  <dc:subject>2013-2-26新normal</dc:subject>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C021EDA36CCC45608F1F37D3CBAC1B4D_13</vt:lpwstr>
  </property>
  <property fmtid="{D5CDD505-2E9C-101B-9397-08002B2CF9AE}" pid="4" name="KSOTemplateDocerSaveRecord">
    <vt:lpwstr>eyJoZGlkIjoiZjgwMDE0MWFlNTUyZWFjOGQyMmYxNDAyNDQzNjQwYWUiLCJ1c2VySWQiOiI2MTMzMjM4NTYifQ==</vt:lpwstr>
  </property>
</Properties>
</file>