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77"/>
        <w:ind w:left="0" w:firstLineChars="0" w:firstLine="0"/>
        <w:jc w:val="both"/>
        <w:rPr>
          <w:rFonts w:ascii="Times New Roman" w:cs="宋体" w:hAnsi="Times New Roman" w:hint="eastAsia"/>
          <w:szCs w:val="32"/>
        </w:rPr>
      </w:pPr>
      <w:bookmarkStart w:id="0" w:name="_Toc83218869"/>
      <w:bookmarkStart w:id="1" w:name="_GoBack"/>
      <w:bookmarkEnd w:id="1"/>
      <w:r>
        <w:rPr>
          <w:rFonts w:ascii="方正黑体_GBK" w:eastAsia="方正黑体_GBK" w:hint="eastAsia"/>
          <w:vanish w:val="0"/>
        </w:rPr>
        <w:t>附件21</w:t>
      </w:r>
    </w:p>
    <w:p>
      <w:pPr>
        <w:pStyle w:val="78"/>
        <w:pBdr>
          <w:top w:val="none" w:sz="0" w:space="0" w:color="auto"/>
          <w:left w:val="none" w:sz="0" w:space="0" w:color="auto"/>
          <w:bottom w:val="none" w:sz="0" w:space="0" w:color="auto"/>
          <w:right w:val="none" w:sz="0" w:space="0" w:color="auto"/>
        </w:pBdr>
        <w:kinsoku/>
        <w:wordWrap/>
        <w:overflowPunct/>
        <w:topLinePunct w:val="0"/>
        <w:autoSpaceDE/>
        <w:autoSpaceDN/>
        <w:spacing w:line="560" w:lineRule="exact"/>
        <w:jc w:val="left"/>
        <w:rPr>
          <w:rFonts w:ascii="方正黑体_GBK" w:eastAsia="方正黑体_GBK" w:hint="eastAsia"/>
          <w:vanish w:val="0"/>
        </w:rPr>
      </w:pPr>
    </w:p>
    <w:p>
      <w:pPr>
        <w:pStyle w:val="78"/>
        <w:pBdr>
          <w:top w:val="none" w:sz="0" w:space="0" w:color="auto"/>
          <w:left w:val="none" w:sz="0" w:space="0" w:color="auto"/>
          <w:bottom w:val="none" w:sz="0" w:space="0" w:color="auto"/>
          <w:right w:val="none" w:sz="0" w:space="0" w:color="auto"/>
        </w:pBdr>
        <w:kinsoku/>
        <w:wordWrap/>
        <w:overflowPunct/>
        <w:topLinePunct w:val="0"/>
        <w:autoSpaceDE/>
        <w:autoSpaceDN/>
        <w:spacing w:line="560" w:lineRule="exact"/>
        <w:jc w:val="center"/>
        <w:outlineLvl w:val="0"/>
        <w:rPr>
          <w:rFonts w:ascii="方正小标宋_GBK" w:eastAsia="方正小标宋_GBK" w:hint="eastAsia"/>
          <w:vanish w:val="0"/>
          <w:sz w:val="44"/>
          <w:szCs w:val="44"/>
        </w:rPr>
      </w:pPr>
      <w:bookmarkStart w:id="2" w:name="_Toc82338305"/>
      <w:r>
        <w:rPr>
          <w:rFonts w:ascii="方正小标宋_GBK" w:eastAsia="方正小标宋_GBK" w:hint="eastAsia"/>
          <w:vanish w:val="0"/>
          <w:sz w:val="44"/>
          <w:szCs w:val="44"/>
        </w:rPr>
        <w:t>中华人民共和国海关确定内销保税货物</w:t>
      </w:r>
      <w:r>
        <w:rPr>
          <w:rFonts w:ascii="方正小标宋_GBK" w:eastAsia="方正小标宋_GBK"/>
          <w:vanish w:val="0"/>
          <w:sz w:val="44"/>
          <w:szCs w:val="44"/>
        </w:rPr>
        <w:br/>
      </w:r>
      <w:r>
        <w:rPr>
          <w:rFonts w:ascii="方正小标宋_GBK" w:eastAsia="方正小标宋_GBK" w:hint="eastAsia"/>
          <w:vanish w:val="0"/>
          <w:sz w:val="44"/>
          <w:szCs w:val="44"/>
        </w:rPr>
        <w:t>计税价格办法</w:t>
      </w:r>
      <w:bookmarkEnd w:id="0"/>
      <w:bookmarkEnd w:id="2"/>
    </w:p>
    <w:p>
      <w:pPr>
        <w:pStyle w:val="220"/>
        <w:pBdr>
          <w:top w:val="none" w:sz="0" w:space="0" w:color="auto"/>
          <w:left w:val="none" w:sz="0" w:space="0" w:color="auto"/>
          <w:bottom w:val="none" w:sz="0" w:space="0" w:color="auto"/>
          <w:right w:val="none" w:sz="0" w:space="0" w:color="auto"/>
        </w:pBdr>
        <w:spacing w:line="560" w:lineRule="exact"/>
        <w:rPr>
          <w:vanish w:val="0"/>
          <w:szCs w:val="32"/>
        </w:rPr>
      </w:pP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为了正确确定内销保税货物的计税价格，根据《中华人民共和国海关法》、《中华人民共和国关税法》及其他有关法律、行政法规的规定，制定本办法。</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内销保税货物计税价格的确定，适用本办法。海关可以依申请或者依职权，对内销保税货物的计税价格依法进行确定。涉嫌走私的内销保税货物计税价格的确定，不适用本办法。</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内销保税货物的计税价格，由海关以该货物的成交价格为基础确定。</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进料加工进口料件或者其制成品（包括残次品）内销时，海关以料件原进口成交价格为基础确定计税价格。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属于料件分批进口，并且内销时不能确定料件原进口一一对应批次的，海关可按照同项号、同品名和同税号的原则，以其合同有效期内或电子账册核销周期内已进口料件的成交价格计算所得的加权平均价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合同有效期内或电子账册核销周期内已进口料件的成交价格加权平均价难以计算或者难以确定的，海关以客观可量化的当期进口料件成交价格的加权平均价为基础确定计税价格。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来料加工进口料件或者其制成品（包括残次品）内销时，海关以企业办理内销纳税手续之日的同时或者大约同时进口的与料件相同或者类似的保税货物的进口成交价格为基础确定计税价格。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加工企业内销的加工过程中产生的边角料或者副产品，以其内销价格为基础确定计税价格。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副产品并非全部使用保税料件生产所得的，海关以保税料件在投入成本核算中所占比重计算结果为基础确定计税价格。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按照规定需要以残留价值征税的受灾保税货物，海关以其内销价格为基础确定计税价格。按照规定应折算成料件征税的，海关以各项保税料件占构成制成品（包括残次品）全部料件的价值比重计算结果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边角料、副产品和按照规定需要以残留价值征税的受灾保税货物经海关允许采用拍卖方式内销时，海关以其拍卖价格为基础确定计税价格。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深加工结转货物内销时，海关以该结转货物的结转价格为基础确定计税价格。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保税区内企业内销的保税加工进口料件或者其制成品，海关以其内销价格为基础确定计税价格。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保税区内企业内销的保税加工制成品中，如果含有从境内采购的料件，海关以制成品所含从境外购入料件的原进口成交价格为基础确定计税价格。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保税区内企业内销的保税加工进口料件或者其制成品的计税价格依据本条前两款规定不能确定的，海关以企业办理内销纳税手续之日的同时或者大约同时内销的相同或者类似的保税货物的内销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 xml:space="preserve">第九条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除保税区以外的海关特殊监管区域内企业内销的保税加工料件或者其制成品，以其内销价格为基础确定计税价格。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除保税区以外的海关特殊监管区域内企业内销的保税加工料件或者其制成品的内销价格不能确定的，海关以企业办理内销纳税手续之日的同时或者大约同时内销的相同或者类似的保税货物的内销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除保税区以外的海关特殊监管区域内企业内销的保税加工制成品、相同或者类似的保税货物的内销价格不能确定的，海关以生产该货物的成本、利润和一般费用计算所得的价格为基础确定计税价格。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 xml:space="preserve">第十条  </w:t>
      </w:r>
      <w:r>
        <w:rPr>
          <w:rFonts w:ascii="Times New Roman" w:eastAsia="方正仿宋_GBK" w:cs="宋体" w:hAnsi="Times New Roman" w:hint="eastAsia"/>
          <w:vanish w:val="0"/>
          <w:szCs w:val="32"/>
        </w:rPr>
        <w:t>海关特殊监管区域内企业内销的保税加工过程中产生的边角料、废品、残次品和副产品，以其内销价格为基础确定计税价格。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海关特殊监管区域内企业经海关允许采用拍卖方式内销的边角料、废品、残次品和副产品，海关以其拍卖价格为基础确定计税价格。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特殊监管区域、保税监管场所内企业内销的保税物流货物，海关以该货物运出海关特殊监管区域、保税监管场所时的内销价格为基础确定计税价格；该内销价格包含的能够单独列明的海关特殊监管区域、保税监管场所内发生的保险费、仓储费和运输及其相关费用，不计入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海关特殊监管区域内企业内销的研发货物，海关依据本办法第八条、第九条、第十条的规定确定计税价格。海关特殊监管区域内企业内销的检测、展示货物，海关依据本办法第十一条的规定确定计税价格。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内销保税货物的计税价格不能依据本办法第四至十二条规定确定的，海关依次以下列价格估定该货物的计税价格：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（一）与该货物同时或者大约同时向中华人民共和国境内销售的相同货物的成交价格；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（二）与该货物同时或者大约同时向中华人民共和国境内销售的类似货物的成交价格；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（三）与该货物进口的同时或者大约同时，将该进口货物、相同或者类似进口货物在中华人民共和国境内第一级销售环节销售给无特殊关系买方最大销售总量的单位价格，但应当扣除以下项目：</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同等级或者同种类货物在中华人民共和国境内第一级销售环节销售时通常的利润和一般费用以及通常支付的佣金；</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进口货物运抵境内输入地点起卸后的运输及其相关费用、保险费；</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3.</w:t>
      </w:r>
      <w:r>
        <w:rPr>
          <w:rFonts w:ascii="Times New Roman" w:eastAsia="方正仿宋_GBK" w:cs="宋体" w:hAnsi="Times New Roman" w:hint="eastAsia"/>
          <w:vanish w:val="0"/>
          <w:szCs w:val="32"/>
        </w:rPr>
        <w:t>进口关税及国内税收。</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按照下列各项总和计算的价格：生产该货物所使用的料件成本和加工费用，向中华人民共和国境内销售同等级或者同种类货物通常的利润和一般费用，该货物运抵境内输入地点起卸前的运输及其相关费用、保险费；</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（五）以合理方法估定的价格。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纳税人可以向海关提供有关资料，申请调整前款第三项和第四项的适用次序。</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本办法中下列用语的含义：</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内销保税货物，包括因故转为内销需要征税的加工贸易货物、海关特殊监管区域内货物、保税监管场所内货物和因其他原因需要按照内销征税办理的保税货物，但不包括以下项目：</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（一）海关特殊监管区域、保税监管场所内生产性的基础设施建设项目所需的机器、设备和建设所需的基建物资；</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（二）海关特殊监管区域、保税监管场所内企业开展生产或综合物流服务所需的机器、设备、模具及其维修用零配件；</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（三）海关特殊监管区域、保税监管场所内企业和行政管理机构自用的办公用品、生活消费用品和交通运输工具。</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内销价格，是指向国内企业销售保税货物时买卖双方订立的价格，是国内企业为购买保税货物而向卖方（保税企业）实际支付或者应当支付的全部价款，但不包括关税和进口环节海关代征税。</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拍卖价格，是指国家注册的拍卖机构对海关核准参与交易的保税货物履行合法有效的拍卖程序，竞买人依拍卖规定获得拍卖标的物的价格。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结转价格，是指深加工结转企业间买卖加工贸易货物时双方订立的价格，是深加工结转转入企业为购买加工贸易货物而向深加工结转转出企业实际支付或者应当支付的全部价款。</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纳税人对海关确定计税价格有异议的，应当依法先向上一级海关申请行政复议；对行政复议决定不服的，可以依法向人民法院提起行政诉讼。</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违反本办法规定，构成走私或者违反海关监管规定行为的，由海关依照《中华人民共和国海关法》和《中华人民共和国海关行政处罚实施条例》的有关规定予以处理；构成犯罪的，依法追究刑事责任。</w:t>
      </w:r>
    </w:p>
    <w:p>
      <w:pPr>
        <w:pStyle w:val="80"/>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本办法由海关总署负责解释。</w:t>
      </w:r>
    </w:p>
    <w:p>
      <w:pPr>
        <w:pStyle w:val="80"/>
        <w:rPr>
          <w:rFonts w:ascii="方正黑体_GBK" w:eastAsia="方正黑体_GBK" w:hint="eastAsia"/>
        </w:rPr>
      </w:pPr>
      <w:r>
        <w:rPr>
          <w:rFonts w:ascii="方正黑体_GBK" w:eastAsia="方正黑体_GBK" w:hint="eastAsia"/>
          <w:vanish w:val="0"/>
        </w:rPr>
        <w:t>第十八条</w:t>
      </w:r>
      <w:r>
        <w:rPr>
          <w:vanish w:val="0"/>
        </w:rPr>
        <w:t xml:space="preserve">  </w:t>
      </w:r>
      <w:r>
        <w:rPr>
          <w:rFonts w:ascii="宋体" w:eastAsia="方正仿宋_GBK" w:hAnsi="宋体" w:hint="eastAsia"/>
          <w:vanish w:val="0"/>
        </w:rPr>
        <w:t>本办法自</w:t>
      </w:r>
      <w:r>
        <w:rPr>
          <w:rFonts w:ascii="Times New Roman" w:cs="Times New Roman" w:hAnsi="Times New Roman"/>
          <w:vanish w:val="0"/>
        </w:rPr>
        <w:t>2014</w:t>
      </w:r>
      <w:r>
        <w:rPr>
          <w:rFonts w:ascii="Times New Roman" w:eastAsia="方正仿宋_GBK" w:cs="Times New Roman" w:hAnsi="Times New Roman"/>
          <w:vanish w:val="0"/>
        </w:rPr>
        <w:t>年</w:t>
      </w:r>
      <w:r>
        <w:rPr>
          <w:rFonts w:ascii="Times New Roman" w:cs="Times New Roman" w:hAnsi="Times New Roman"/>
          <w:vanish w:val="0"/>
        </w:rPr>
        <w:t>2</w:t>
      </w:r>
      <w:r>
        <w:rPr>
          <w:rFonts w:ascii="Times New Roman" w:eastAsia="方正仿宋_GBK" w:cs="Times New Roman" w:hAnsi="Times New Roman"/>
          <w:vanish w:val="0"/>
        </w:rPr>
        <w:t>月</w:t>
      </w:r>
      <w:r>
        <w:rPr>
          <w:rFonts w:ascii="Times New Roman" w:cs="Times New Roman" w:hAnsi="Times New Roman"/>
          <w:vanish w:val="0"/>
        </w:rPr>
        <w:t>1</w:t>
      </w:r>
      <w:r>
        <w:rPr>
          <w:rFonts w:ascii="Times New Roman" w:eastAsia="方正仿宋_GBK" w:cs="Times New Roman" w:hAnsi="Times New Roman"/>
          <w:vanish w:val="0"/>
        </w:rPr>
        <w:t>日</w:t>
      </w:r>
      <w:r>
        <w:rPr>
          <w:rFonts w:ascii="宋体" w:eastAsia="方正仿宋_GBK" w:hAnsi="宋体" w:hint="eastAsia"/>
          <w:vanish w:val="0"/>
        </w:rPr>
        <w:t>起施行。</w:t>
      </w:r>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方正小标宋_GBK">
    <w:altName w:val="苹方-简"/>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6</Pages>
  <Words>2711</Words>
  <Characters>2718</Characters>
  <Lines>126</Lines>
  <Paragraphs>46</Paragraphs>
  <CharactersWithSpaces>2755</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2024-10-28T02:04:12Z</dcterms:modified>
</cp:coreProperties>
</file>