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214"/>
        <w:keepNext w:val="0"/>
        <w:widowControl/>
        <w:shd w:val="clear" w:color="auto" w:fill="FFFFFF"/>
        <w:spacing w:line="560" w:lineRule="exact"/>
        <w:ind w:left="0"/>
        <w:jc w:val="left"/>
        <w:rPr>
          <w:rFonts w:cs="仿宋_GB2312"/>
          <w:szCs w:val="32"/>
          <w:shd w:val="clear" w:color="auto" w:fill="FFFFFF"/>
        </w:rPr>
      </w:pPr>
      <w:bookmarkStart w:id="0" w:name="_GoBack"/>
      <w:bookmarkEnd w:id="0"/>
      <w:r>
        <w:rPr>
          <w:rFonts w:ascii="方正黑体_GBK" w:eastAsia="方正黑体_GBK" w:hint="eastAsia"/>
          <w:sz w:val="32"/>
          <w:szCs w:val="32"/>
        </w:rPr>
        <w:t>附件1</w:t>
      </w:r>
      <w:r>
        <w:rPr>
          <w:rFonts w:ascii="方正黑体_GBK" w:eastAsia="方正黑体_GBK"/>
          <w:sz w:val="32"/>
          <w:szCs w:val="32"/>
        </w:rPr>
        <w:t>8</w:t>
      </w:r>
    </w:p>
    <w:p>
      <w:pPr>
        <w:pStyle w:val="215"/>
        <w:spacing w:line="560" w:lineRule="exact"/>
        <w:jc w:val="center"/>
        <w:rPr>
          <w:rFonts w:ascii="方正黑体_GBK" w:eastAsia="方正黑体_GBK"/>
          <w:szCs w:val="32"/>
        </w:rPr>
      </w:pPr>
    </w:p>
    <w:p>
      <w:pPr>
        <w:pStyle w:val="215"/>
        <w:spacing w:line="560" w:lineRule="exact"/>
        <w:jc w:val="center"/>
        <w:outlineLvl w:val="0"/>
        <w:rPr>
          <w:rFonts w:ascii="方正小标宋_GBK" w:eastAsia="方正小标宋_GBK" w:cs="Times New Roman" w:hint="eastAsia"/>
          <w:sz w:val="44"/>
          <w:szCs w:val="44"/>
        </w:rPr>
      </w:pPr>
      <w:bookmarkStart w:id="1" w:name="_Toc82338302"/>
      <w:r>
        <w:rPr>
          <w:rFonts w:ascii="方正小标宋_GBK" w:eastAsia="方正小标宋_GBK" w:cs="Times New Roman" w:hint="eastAsia"/>
          <w:sz w:val="44"/>
          <w:szCs w:val="44"/>
        </w:rPr>
        <w:t>中华人民共和国海关《中华人民共和国政府和哥斯达黎加共和国政府自由贸易协定》项下</w:t>
      </w:r>
      <w:r>
        <w:rPr>
          <w:rFonts w:ascii="方正小标宋_GBK" w:eastAsia="方正小标宋_GBK" w:cs="Times New Roman"/>
          <w:sz w:val="44"/>
          <w:szCs w:val="44"/>
        </w:rPr>
        <w:br/>
      </w:r>
      <w:r>
        <w:rPr>
          <w:rFonts w:ascii="方正小标宋_GBK" w:eastAsia="方正小标宋_GBK" w:cs="Times New Roman" w:hint="eastAsia"/>
          <w:sz w:val="44"/>
          <w:szCs w:val="44"/>
        </w:rPr>
        <w:t>进出口货物原产地管理办法</w:t>
      </w:r>
      <w:bookmarkEnd w:id="1"/>
    </w:p>
    <w:p>
      <w:pPr>
        <w:pStyle w:val="216"/>
        <w:tabs>
          <w:tab w:val="center" w:pos="4153"/>
          <w:tab w:val="right" w:pos="8306"/>
        </w:tabs>
        <w:spacing w:line="560" w:lineRule="exact"/>
        <w:rPr>
          <w:rFonts w:hint="eastAsia"/>
        </w:rPr>
      </w:pPr>
    </w:p>
    <w:p>
      <w:pPr>
        <w:pStyle w:val="67"/>
        <w:widowControl/>
        <w:shd w:val="clear" w:color="auto" w:fill="FFFFFF"/>
        <w:spacing w:line="560" w:lineRule="exact"/>
        <w:ind w:firstLineChars="200" w:firstLine="640"/>
        <w:jc w:val="left"/>
        <w:rPr>
          <w:rFonts w:cs="仿宋_GB2312" w:hint="eastAsia"/>
          <w:szCs w:val="32"/>
          <w:shd w:val="clear" w:color="auto" w:fill="FFFFFF"/>
        </w:rPr>
      </w:pPr>
      <w:r>
        <w:rPr>
          <w:rFonts w:ascii="方正黑体_GBK" w:eastAsia="方正黑体_GBK" w:hint="eastAsia"/>
          <w:szCs w:val="32"/>
        </w:rPr>
        <w:t>第一条</w:t>
      </w:r>
      <w:r>
        <w:rPr>
          <w:rFonts w:hint="eastAsia"/>
          <w:szCs w:val="32"/>
        </w:rPr>
        <w:t xml:space="preserve">  </w:t>
      </w:r>
      <w:r>
        <w:rPr>
          <w:rFonts w:cs="仿宋_GB2312" w:hint="eastAsia"/>
          <w:szCs w:val="32"/>
          <w:shd w:val="clear" w:color="auto" w:fill="FFFFFF"/>
        </w:rPr>
        <w:t>为了正确确定《中华人民共和国政府和哥斯达黎加共和国政府自由贸易协定》（以下简称《中哥自贸协定》）项下进出口货物原产地，促进我国与哥斯达黎加的经贸往来，根据《中华人民共和国海关法》（以下简称《海关法》）、《中华人民共和国进出口货物原产地条例》、《中哥自贸协定》的规定，制定本办法。</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第二条</w:t>
      </w:r>
      <w:r>
        <w:rPr>
          <w:rFonts w:cs="仿宋_GB2312" w:hint="eastAsia"/>
          <w:szCs w:val="32"/>
          <w:shd w:val="clear" w:color="auto" w:fill="FFFFFF"/>
        </w:rPr>
        <w:t xml:space="preserve">  本办法适用于我国与哥斯达黎加之间的《中哥自贸协定》项下进出口货物的原产地管理。</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第三条</w:t>
      </w:r>
      <w:r>
        <w:rPr>
          <w:rFonts w:cs="黑体" w:hint="eastAsia"/>
          <w:szCs w:val="32"/>
          <w:shd w:val="clear" w:color="auto" w:fill="FFFFFF"/>
        </w:rPr>
        <w:t xml:space="preserve">  </w:t>
      </w:r>
      <w:r>
        <w:rPr>
          <w:rFonts w:cs="仿宋_GB2312" w:hint="eastAsia"/>
          <w:szCs w:val="32"/>
          <w:shd w:val="clear" w:color="auto" w:fill="FFFFFF"/>
        </w:rPr>
        <w:t>从哥斯达黎加直接运输进口的货物，符合下列条件之一的，其原产国为哥斯达黎加，适用《中华人民共和国进出口税则》（以下简称《税则》）中的《中哥自贸协定》协定税率：</w:t>
      </w:r>
    </w:p>
    <w:p>
      <w:pPr>
        <w:pStyle w:val="67"/>
        <w:widowControl/>
        <w:shd w:val="clear" w:color="auto" w:fill="FFFFFF"/>
        <w:spacing w:line="560" w:lineRule="exact"/>
        <w:ind w:firstLineChars="200" w:firstLine="640"/>
        <w:jc w:val="left"/>
        <w:rPr>
          <w:rFonts w:cs="仿宋_GB2312" w:hint="eastAsia"/>
          <w:szCs w:val="32"/>
          <w:shd w:val="clear" w:color="auto" w:fill="FFFFFF"/>
        </w:rPr>
      </w:pPr>
      <w:r>
        <w:rPr>
          <w:rFonts w:cs="仿宋_GB2312" w:hint="eastAsia"/>
          <w:szCs w:val="32"/>
          <w:shd w:val="clear" w:color="auto" w:fill="FFFFFF"/>
        </w:rPr>
        <w:t>（一）哥斯达黎加完全获得或者生产的；</w:t>
      </w:r>
    </w:p>
    <w:p>
      <w:pPr>
        <w:pStyle w:val="67"/>
        <w:widowControl/>
        <w:shd w:val="clear" w:color="auto" w:fill="FFFFFF"/>
        <w:spacing w:line="560" w:lineRule="exact"/>
        <w:ind w:firstLineChars="200" w:firstLine="640"/>
        <w:jc w:val="left"/>
        <w:rPr>
          <w:rFonts w:cs="仿宋_GB2312" w:hint="eastAsia"/>
          <w:szCs w:val="32"/>
          <w:shd w:val="clear" w:color="auto" w:fill="FFFFFF"/>
        </w:rPr>
      </w:pPr>
      <w:r>
        <w:rPr>
          <w:rFonts w:cs="仿宋_GB2312" w:hint="eastAsia"/>
          <w:szCs w:val="32"/>
          <w:shd w:val="clear" w:color="auto" w:fill="FFFFFF"/>
        </w:rPr>
        <w:t>（二）在哥斯达黎加境内全部使用符合本办法规定的中国或者哥斯达黎加原产材料生产的；</w:t>
      </w:r>
    </w:p>
    <w:p>
      <w:pPr>
        <w:pStyle w:val="67"/>
        <w:widowControl/>
        <w:shd w:val="clear" w:color="auto" w:fill="FFFFFF"/>
        <w:spacing w:line="560" w:lineRule="exact"/>
        <w:ind w:firstLineChars="200" w:firstLine="640"/>
        <w:jc w:val="left"/>
        <w:rPr>
          <w:rFonts w:cs="仿宋_GB2312" w:hint="eastAsia"/>
          <w:szCs w:val="32"/>
          <w:shd w:val="clear" w:color="auto" w:fill="FFFFFF"/>
        </w:rPr>
      </w:pPr>
      <w:r>
        <w:rPr>
          <w:rFonts w:cs="仿宋_GB2312" w:hint="eastAsia"/>
          <w:szCs w:val="32"/>
          <w:shd w:val="clear" w:color="auto" w:fill="FFFFFF"/>
        </w:rPr>
        <w:t>（三）在哥斯达黎加境内非完全获得或者生产，但符合《中哥自贸协定》项下产品特定原产地规则规定的税则归类改变、区域价值成分、特定加工工序等要求的。</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《中哥自贸协定》项下产品特定原产地规则是本办法的组成部分，由海关总署另行公告。</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第四条</w:t>
      </w:r>
      <w:r>
        <w:rPr>
          <w:rFonts w:cs="黑体" w:hint="eastAsia"/>
          <w:szCs w:val="32"/>
          <w:shd w:val="clear" w:color="auto" w:fill="FFFFFF"/>
        </w:rPr>
        <w:t xml:space="preserve">  </w:t>
      </w:r>
      <w:r>
        <w:rPr>
          <w:rFonts w:cs="仿宋_GB2312" w:hint="eastAsia"/>
          <w:szCs w:val="32"/>
          <w:shd w:val="clear" w:color="auto" w:fill="FFFFFF"/>
        </w:rPr>
        <w:t>本办法第三条第（一）项所述“在哥斯达黎加完全获得或者生产”的货物是指：</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（一）在哥斯达黎加境内出生并饲养的活动物；</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（二）在哥斯达黎加境内从活动物中获得的货物；</w:t>
      </w:r>
    </w:p>
    <w:p>
      <w:pPr>
        <w:pStyle w:val="67"/>
        <w:widowControl/>
        <w:shd w:val="clear" w:color="auto" w:fill="FFFFFF"/>
        <w:spacing w:line="560" w:lineRule="exact"/>
        <w:ind w:firstLine="649"/>
        <w:jc w:val="left"/>
        <w:rPr>
          <w:rFonts w:cs="仿宋_GB2312"/>
          <w:szCs w:val="32"/>
          <w:shd w:val="clear" w:color="auto" w:fill="FFFFFF"/>
        </w:rPr>
      </w:pPr>
      <w:r>
        <w:rPr>
          <w:rFonts w:cs="仿宋_GB2312" w:hint="eastAsia"/>
          <w:szCs w:val="32"/>
          <w:shd w:val="clear" w:color="auto" w:fill="FFFFFF"/>
        </w:rPr>
        <w:t>（三）在哥斯达黎加境内收获、采摘或者采集的植物及植物产品；</w:t>
      </w:r>
    </w:p>
    <w:p>
      <w:pPr>
        <w:pStyle w:val="67"/>
        <w:widowControl/>
        <w:shd w:val="clear" w:color="auto" w:fill="FFFFFF"/>
        <w:spacing w:line="560" w:lineRule="exact"/>
        <w:ind w:firstLine="649"/>
        <w:jc w:val="left"/>
        <w:rPr>
          <w:rFonts w:cs="仿宋_GB2312" w:hint="eastAsia"/>
          <w:szCs w:val="32"/>
          <w:shd w:val="clear" w:color="auto" w:fill="FFFFFF"/>
        </w:rPr>
      </w:pPr>
      <w:r>
        <w:rPr>
          <w:rFonts w:cs="仿宋_GB2312" w:hint="eastAsia"/>
          <w:szCs w:val="32"/>
          <w:shd w:val="clear" w:color="auto" w:fill="FFFFFF"/>
        </w:rPr>
        <w:t>（四）在哥斯达黎加境内狩猎、诱捕、捕捞、水产养殖、耕种或者捕获获得的货物；</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（五）从哥斯达黎加领土、领水、海床或者海床底土提取或者得到的矿物质，以及不包括在上述第（一）项至第（四）项内的其他天然资源；</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（六）在哥斯达黎加领海以外的水域、海床或者海床底土提取的货物，只要哥斯达黎加根据符合其缔结的相关国际协定可适用的国内法，有权开发上述水域、海床或者海床底土；</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（七）在哥斯达黎加的领海或者专属经济区捕捞获得的鱼类及其他产品；</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（八）在哥斯达黎加注册或者登记，并悬挂其国旗的船舶在公海捕捞获得的鱼类及其他产品；</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（九）在哥斯达黎加注册或者登记，并悬挂其国旗的加工船上，完全用上述第（七）项、第（八）项所述货物加工、制造的货物；</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（十）在哥斯达黎加境内加工过程中产生的、仅适用于原材料回收的废碎料；或者在哥斯达黎加境内收集的、仅适用于原材料回收的废旧物品；</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（十一）在哥斯达黎加境内完全从上述第（一）项至第（十）项所列货物获得或者生产的货物。</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第五条</w:t>
      </w:r>
      <w:r>
        <w:rPr>
          <w:rFonts w:cs="黑体" w:hint="eastAsia"/>
          <w:szCs w:val="32"/>
          <w:shd w:val="clear" w:color="auto" w:fill="FFFFFF"/>
        </w:rPr>
        <w:t xml:space="preserve">  </w:t>
      </w:r>
      <w:r>
        <w:rPr>
          <w:rFonts w:cs="仿宋_GB2312" w:hint="eastAsia"/>
          <w:szCs w:val="32"/>
          <w:shd w:val="clear" w:color="auto" w:fill="FFFFFF"/>
        </w:rPr>
        <w:t>《中哥自贸协定》项下进口货物在生产过程中使用了非原产材料，非原产材料的税则号列与进口货物的税则号列不同，从非原产材料到进口货物的税则归类改变符合《中哥自贸协定》项下产品特定原产地规则中相应的税则归类改变标准的，该进口货物应当视为原产于哥斯达黎加的货物。</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第六条</w:t>
      </w:r>
      <w:r>
        <w:rPr>
          <w:rFonts w:cs="黑体" w:hint="eastAsia"/>
          <w:szCs w:val="32"/>
          <w:shd w:val="clear" w:color="auto" w:fill="FFFFFF"/>
        </w:rPr>
        <w:t xml:space="preserve">  </w:t>
      </w:r>
      <w:r>
        <w:rPr>
          <w:rFonts w:cs="仿宋_GB2312" w:hint="eastAsia"/>
          <w:szCs w:val="32"/>
          <w:shd w:val="clear" w:color="auto" w:fill="FFFFFF"/>
        </w:rPr>
        <w:t>在哥斯达黎加境内，使用非哥斯达黎加原产材料生产的货物，符合《中哥自贸协定》项下产品特定原产地规则中该货物所对应的区域价值成分标准的，应当视为原产于哥斯达黎加的货物。</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本条第一款中的区域价值成分应当按照下列方法计算：　　</w:t>
      </w:r>
    </w:p>
    <w:tbl>
      <w:tblPr>
        <w:jc w:val="center"/>
        <w:tblW w:w="7498" w:type="dxa"/>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2044"/>
        <w:gridCol w:w="4272"/>
        <w:gridCol w:w="1182"/>
      </w:tblGrid>
      <w:tr>
        <w:trPr>
          <w:cantSplit/>
          <w:trHeight w:val="428"/>
        </w:trPr>
        <w:tc>
          <w:tcPr>
            <w:tcW w:w="2044" w:type="dxa"/>
            <w:vMerge w:val="restart"/>
            <w:tcBorders>
              <w:top w:val="nil"/>
              <w:left w:val="nil"/>
              <w:bottom w:val="nil"/>
              <w:right w:val="nil"/>
              <w:tl2br w:val="nil"/>
              <w:tr2bl w:val="nil"/>
            </w:tcBorders>
            <w:shd w:val="clear" w:color="auto" w:fill="auto"/>
            <w:tcMar>
              <w:left w:w="108" w:type="dxa"/>
              <w:right w:w="108" w:type="dxa"/>
            </w:tcMar>
            <w:vAlign w:val="center"/>
          </w:tcPr>
          <w:p>
            <w:pPr>
              <w:pStyle w:val="366"/>
              <w:keepNext w:val="0"/>
              <w:keepLines w:val="0"/>
              <w:pageBreakBefore w:val="0"/>
              <w:widowControl/>
              <w:suppressLineNumbers w:val="0"/>
              <w:suppressAutoHyphens w:val="0"/>
              <w:spacing w:before="100" w:beforeAutospacing="1" w:after="100" w:afterAutospacing="1"/>
              <w:jc w:val="left"/>
              <w:rPr>
                <w:rFonts w:ascii="宋体" w:cs="宋体" w:hAnsi="宋体" w:hint="eastAsia"/>
                <w:kern w:val="0"/>
                <w:sz w:val="24"/>
                <w:lang w:bidi="ar-SA"/>
              </w:rPr>
            </w:pPr>
            <w:r>
              <w:rPr>
                <w:rFonts w:ascii="宋体" w:cs="宋体" w:hAnsi="宋体" w:hint="eastAsia"/>
                <w:kern w:val="0"/>
                <w:sz w:val="24"/>
                <w:lang w:bidi="ar-SA"/>
              </w:rPr>
              <w:t>区域价值成分=</w:t>
            </w:r>
          </w:p>
        </w:tc>
        <w:tc>
          <w:tcPr>
            <w:tcW w:w="4272" w:type="dxa"/>
            <w:tcBorders>
              <w:top w:val="nil"/>
              <w:left w:val="nil"/>
              <w:bottom w:val="single" w:sz="8" w:space="0" w:color="auto"/>
              <w:right w:val="nil"/>
              <w:tl2br w:val="nil"/>
              <w:tr2bl w:val="nil"/>
            </w:tcBorders>
            <w:shd w:val="clear" w:color="auto" w:fill="auto"/>
            <w:tcMar>
              <w:left w:w="108" w:type="dxa"/>
              <w:right w:w="108" w:type="dxa"/>
            </w:tcMar>
            <w:vAlign w:val="center"/>
          </w:tcPr>
          <w:p>
            <w:pPr>
              <w:pStyle w:val="366"/>
              <w:keepNext w:val="0"/>
              <w:keepLines w:val="0"/>
              <w:pageBreakBefore w:val="0"/>
              <w:widowControl/>
              <w:suppressLineNumbers w:val="0"/>
              <w:suppressAutoHyphens w:val="0"/>
              <w:spacing w:before="100" w:beforeAutospacing="1" w:after="100" w:afterAutospacing="1"/>
              <w:jc w:val="center"/>
              <w:rPr>
                <w:rFonts w:ascii="宋体" w:cs="宋体" w:hAnsi="宋体" w:hint="eastAsia"/>
                <w:kern w:val="0"/>
                <w:sz w:val="24"/>
                <w:lang w:bidi="ar-SA"/>
              </w:rPr>
            </w:pPr>
            <w:r>
              <w:rPr>
                <w:rFonts w:ascii="宋体" w:cs="宋体" w:hAnsi="宋体" w:hint="eastAsia"/>
                <w:kern w:val="0"/>
                <w:sz w:val="24"/>
                <w:lang w:bidi="ar-SA"/>
              </w:rPr>
              <w:t>货物价格 – 非原产材料价格</w:t>
            </w:r>
          </w:p>
        </w:tc>
        <w:tc>
          <w:tcPr>
            <w:tcW w:w="1182" w:type="dxa"/>
            <w:vMerge w:val="restart"/>
            <w:tcBorders>
              <w:top w:val="nil"/>
              <w:left w:val="nil"/>
              <w:bottom w:val="nil"/>
              <w:right w:val="nil"/>
              <w:tl2br w:val="nil"/>
              <w:tr2bl w:val="nil"/>
            </w:tcBorders>
            <w:shd w:val="clear" w:color="auto" w:fill="auto"/>
            <w:tcMar>
              <w:left w:w="108" w:type="dxa"/>
              <w:right w:w="108" w:type="dxa"/>
            </w:tcMar>
            <w:vAlign w:val="center"/>
          </w:tcPr>
          <w:p>
            <w:pPr>
              <w:pStyle w:val="366"/>
              <w:keepNext w:val="0"/>
              <w:keepLines w:val="0"/>
              <w:pageBreakBefore w:val="0"/>
              <w:widowControl/>
              <w:suppressLineNumbers w:val="0"/>
              <w:suppressAutoHyphens w:val="0"/>
              <w:spacing w:before="100" w:beforeAutospacing="1" w:after="100" w:afterAutospacing="1"/>
              <w:jc w:val="left"/>
              <w:rPr>
                <w:rFonts w:ascii="宋体" w:cs="宋体" w:hAnsi="宋体" w:hint="eastAsia"/>
                <w:kern w:val="0"/>
                <w:sz w:val="24"/>
                <w:lang w:bidi="ar-SA"/>
              </w:rPr>
            </w:pPr>
            <w:r>
              <w:rPr>
                <w:rFonts w:ascii="宋体" w:cs="宋体" w:hAnsi="宋体" w:hint="eastAsia"/>
                <w:kern w:val="0"/>
                <w:sz w:val="24"/>
                <w:lang w:bidi="ar-SA"/>
              </w:rPr>
              <w:t xml:space="preserve">× </w:t>
            </w:r>
            <w:r>
              <w:rPr>
                <w:kern w:val="0"/>
                <w:sz w:val="24"/>
              </w:rPr>
              <w:t>100%</w:t>
            </w:r>
          </w:p>
        </w:tc>
      </w:tr>
      <w:tr>
        <w:trPr>
          <w:cantSplit/>
          <w:trHeight w:val="428"/>
        </w:trPr>
        <w:tc>
          <w:tcPr>
            <w:tcW w:w="2044" w:type="dxa"/>
            <w:vMerge/>
            <w:tcBorders>
              <w:top w:val="nil"/>
              <w:left w:val="nil"/>
              <w:bottom w:val="nil"/>
              <w:right w:val="nil"/>
              <w:tl2br w:val="nil"/>
              <w:tr2bl w:val="nil"/>
            </w:tcBorders>
            <w:vAlign w:val="center"/>
          </w:tcPr>
          <w:p/>
        </w:tc>
        <w:tc>
          <w:tcPr>
            <w:tcW w:w="4272" w:type="dxa"/>
            <w:tcBorders>
              <w:top w:val="nil"/>
              <w:left w:val="nil"/>
              <w:bottom w:val="nil"/>
              <w:right w:val="nil"/>
              <w:tl2br w:val="nil"/>
              <w:tr2bl w:val="nil"/>
            </w:tcBorders>
            <w:shd w:val="clear" w:color="auto" w:fill="auto"/>
            <w:tcMar>
              <w:left w:w="108" w:type="dxa"/>
              <w:right w:w="108" w:type="dxa"/>
            </w:tcMar>
            <w:vAlign w:val="center"/>
          </w:tcPr>
          <w:p>
            <w:pPr>
              <w:pStyle w:val="366"/>
              <w:keepNext w:val="0"/>
              <w:keepLines w:val="0"/>
              <w:pageBreakBefore w:val="0"/>
              <w:widowControl/>
              <w:suppressLineNumbers w:val="0"/>
              <w:suppressAutoHyphens w:val="0"/>
              <w:spacing w:before="100" w:beforeAutospacing="1" w:after="100" w:afterAutospacing="1"/>
              <w:jc w:val="center"/>
              <w:rPr>
                <w:rFonts w:ascii="宋体" w:cs="宋体" w:hAnsi="宋体" w:hint="eastAsia"/>
                <w:kern w:val="0"/>
                <w:sz w:val="24"/>
                <w:lang w:bidi="ar-SA"/>
              </w:rPr>
            </w:pPr>
            <w:r>
              <w:rPr>
                <w:rFonts w:ascii="宋体" w:cs="宋体" w:hAnsi="宋体" w:hint="eastAsia"/>
                <w:kern w:val="0"/>
                <w:sz w:val="24"/>
                <w:lang w:bidi="ar-SA"/>
              </w:rPr>
              <w:t>货物价格</w:t>
            </w:r>
          </w:p>
        </w:tc>
        <w:tc>
          <w:tcPr>
            <w:tcW w:w="1182" w:type="dxa"/>
            <w:vMerge/>
            <w:tcBorders>
              <w:top w:val="nil"/>
              <w:left w:val="nil"/>
              <w:bottom w:val="nil"/>
              <w:right w:val="nil"/>
              <w:tl2br w:val="nil"/>
              <w:tr2bl w:val="nil"/>
            </w:tcBorders>
            <w:vAlign w:val="center"/>
          </w:tcPr>
          <w:p/>
        </w:tc>
      </w:tr>
    </w:tbl>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其中，“货物价格”是指按照《海关估价协定》规定，在货物船上交货价格（FOB）基础上经过调整的价格。“非原产材料价格”是指非哥斯达黎加原产材料的进口成本、运至目的港口或者地点的运费和保险费（CIF），不包括在生产过程中为生产原产材料而使用的非原产材料的价值。原产地不明的材料按照最早可以确定的在哥斯达黎加境内为该材料实付或者应付的价格，计入非原产材料价格。非原产材料由货物生产商在哥斯达黎加境内获得的，从供应商仓库运抵生产商所在地的运费、保费、包装费及任何其他费用均不计入非原产材料价格。</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本条规定中货物价格和非原产材料价格的计算应当符合《海关估价协定》。</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第七条</w:t>
      </w:r>
      <w:r>
        <w:rPr>
          <w:rFonts w:cs="黑体" w:hint="eastAsia"/>
          <w:szCs w:val="32"/>
          <w:shd w:val="clear" w:color="auto" w:fill="FFFFFF"/>
        </w:rPr>
        <w:t xml:space="preserve">  </w:t>
      </w:r>
      <w:r>
        <w:rPr>
          <w:rFonts w:cs="仿宋_GB2312" w:hint="eastAsia"/>
          <w:szCs w:val="32"/>
          <w:shd w:val="clear" w:color="auto" w:fill="FFFFFF"/>
        </w:rPr>
        <w:t>在哥斯达黎加境内，使用非哥斯达黎加原产材料生产的货物，其制造、加工工序符合《中哥自贸协定》项下产品特定原产地规则中相应的特定加工工序标准的，应当视为原产于哥斯达黎加的货物。</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第八条</w:t>
      </w:r>
      <w:r>
        <w:rPr>
          <w:rFonts w:cs="黑体" w:hint="eastAsia"/>
          <w:szCs w:val="32"/>
          <w:shd w:val="clear" w:color="auto" w:fill="FFFFFF"/>
        </w:rPr>
        <w:t xml:space="preserve">  </w:t>
      </w:r>
      <w:r>
        <w:rPr>
          <w:rFonts w:cs="仿宋_GB2312" w:hint="eastAsia"/>
          <w:szCs w:val="32"/>
          <w:shd w:val="clear" w:color="auto" w:fill="FFFFFF"/>
        </w:rPr>
        <w:t>原产于中国的货物或者材料在哥斯达黎加境内被用于生产另一货物，并构成另一货物的组成部分的，该货物或者材料应当视为原产于哥斯达黎加境内。</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第九条</w:t>
      </w:r>
      <w:r>
        <w:rPr>
          <w:rFonts w:cs="黑体" w:hint="eastAsia"/>
          <w:szCs w:val="32"/>
          <w:shd w:val="clear" w:color="auto" w:fill="FFFFFF"/>
        </w:rPr>
        <w:t xml:space="preserve">  </w:t>
      </w:r>
      <w:r>
        <w:rPr>
          <w:rFonts w:cs="仿宋_GB2312" w:hint="eastAsia"/>
          <w:szCs w:val="32"/>
          <w:shd w:val="clear" w:color="auto" w:fill="FFFFFF"/>
        </w:rPr>
        <w:t>适用《中哥自贸协定》项下产品特定原产地规则税则归类改变标准确定原产地的货物，其生产过程中所使用的非哥斯达黎加原产材料未能满足该税则归类改变标准，但是上述非哥斯达黎加原产材料按照第六条规定确定的价格不超过该货物船上交货价格10%，并且货物符合本办法所有其他适用规定的，应当视为原产于哥斯达黎加的货物。</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第十条</w:t>
      </w:r>
      <w:r>
        <w:rPr>
          <w:rFonts w:cs="黑体" w:hint="eastAsia"/>
          <w:szCs w:val="32"/>
          <w:shd w:val="clear" w:color="auto" w:fill="FFFFFF"/>
        </w:rPr>
        <w:t xml:space="preserve">  </w:t>
      </w:r>
      <w:r>
        <w:rPr>
          <w:rFonts w:cs="仿宋_GB2312" w:hint="eastAsia"/>
          <w:szCs w:val="32"/>
          <w:shd w:val="clear" w:color="auto" w:fill="FFFFFF"/>
        </w:rPr>
        <w:t>下列微小加工或者处理不影响货物原产地确定：</w:t>
      </w:r>
    </w:p>
    <w:p>
      <w:pPr>
        <w:pStyle w:val="67"/>
        <w:widowControl/>
        <w:shd w:val="clear" w:color="auto" w:fill="FFFFFF"/>
        <w:spacing w:line="560" w:lineRule="exact"/>
        <w:ind w:firstLineChars="200" w:firstLine="640"/>
        <w:jc w:val="left"/>
        <w:rPr>
          <w:rFonts w:cs="仿宋_GB2312" w:hint="eastAsia"/>
          <w:szCs w:val="32"/>
          <w:shd w:val="clear" w:color="auto" w:fill="FFFFFF"/>
        </w:rPr>
      </w:pPr>
      <w:r>
        <w:rPr>
          <w:rFonts w:cs="仿宋_GB2312" w:hint="eastAsia"/>
          <w:szCs w:val="32"/>
          <w:shd w:val="clear" w:color="auto" w:fill="FFFFFF"/>
        </w:rPr>
        <w:t>（一）为确保货物在运输或者贮存期间处于良好状态而进行的处理；</w:t>
      </w:r>
    </w:p>
    <w:p>
      <w:pPr>
        <w:pStyle w:val="67"/>
        <w:widowControl/>
        <w:shd w:val="clear" w:color="auto" w:fill="FFFFFF"/>
        <w:spacing w:line="560" w:lineRule="exact"/>
        <w:ind w:firstLineChars="200" w:firstLine="640"/>
        <w:jc w:val="left"/>
        <w:rPr>
          <w:rFonts w:cs="仿宋_GB2312" w:hint="eastAsia"/>
          <w:szCs w:val="32"/>
          <w:shd w:val="clear" w:color="auto" w:fill="FFFFFF"/>
        </w:rPr>
      </w:pPr>
      <w:r>
        <w:rPr>
          <w:rFonts w:cs="仿宋_GB2312" w:hint="eastAsia"/>
          <w:szCs w:val="32"/>
          <w:shd w:val="clear" w:color="auto" w:fill="FFFFFF"/>
        </w:rPr>
        <w:t>（二）货物的拆解和简单组装；</w:t>
      </w:r>
    </w:p>
    <w:p>
      <w:pPr>
        <w:pStyle w:val="67"/>
        <w:widowControl/>
        <w:shd w:val="clear" w:color="auto" w:fill="FFFFFF"/>
        <w:spacing w:line="560" w:lineRule="exact"/>
        <w:ind w:firstLineChars="200" w:firstLine="640"/>
        <w:jc w:val="left"/>
        <w:rPr>
          <w:rFonts w:cs="仿宋_GB2312" w:hint="eastAsia"/>
          <w:szCs w:val="32"/>
          <w:shd w:val="clear" w:color="auto" w:fill="FFFFFF"/>
        </w:rPr>
      </w:pPr>
      <w:r>
        <w:rPr>
          <w:rFonts w:cs="仿宋_GB2312" w:hint="eastAsia"/>
          <w:szCs w:val="32"/>
          <w:shd w:val="clear" w:color="auto" w:fill="FFFFFF"/>
        </w:rPr>
        <w:t>（三）以销售或者展示为目的的包装、拆包或者重新打包等处理；</w:t>
      </w:r>
    </w:p>
    <w:p>
      <w:pPr>
        <w:pStyle w:val="67"/>
        <w:widowControl/>
        <w:shd w:val="clear" w:color="auto" w:fill="FFFFFF"/>
        <w:spacing w:line="560" w:lineRule="exact"/>
        <w:ind w:firstLineChars="200" w:firstLine="640"/>
        <w:jc w:val="left"/>
        <w:rPr>
          <w:rFonts w:cs="仿宋_GB2312" w:hint="eastAsia"/>
          <w:szCs w:val="32"/>
          <w:shd w:val="clear" w:color="auto" w:fill="FFFFFF"/>
        </w:rPr>
      </w:pPr>
      <w:r>
        <w:rPr>
          <w:rFonts w:cs="仿宋_GB2312" w:hint="eastAsia"/>
          <w:szCs w:val="32"/>
          <w:shd w:val="clear" w:color="auto" w:fill="FFFFFF"/>
        </w:rPr>
        <w:t>（四）动物屠宰。</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第十一条</w:t>
      </w:r>
      <w:r>
        <w:rPr>
          <w:rFonts w:cs="黑体" w:hint="eastAsia"/>
          <w:szCs w:val="32"/>
          <w:shd w:val="clear" w:color="auto" w:fill="FFFFFF"/>
        </w:rPr>
        <w:t xml:space="preserve">  </w:t>
      </w:r>
      <w:r>
        <w:rPr>
          <w:rFonts w:cs="仿宋_GB2312" w:hint="eastAsia"/>
          <w:szCs w:val="32"/>
          <w:shd w:val="clear" w:color="auto" w:fill="FFFFFF"/>
        </w:rPr>
        <w:t>属于《税则》归类总规则三所规定的成套货物，其中全部货物均原产于哥斯达黎加的，该成套货物即为原产于哥斯达黎加；其中部分货物非原产于哥斯达黎加，但是按照本办法第六条确定的价格不超过该成套货物价格15%的，该成套货物仍应视为原产于哥斯达黎加。</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第十二条</w:t>
      </w:r>
      <w:r>
        <w:rPr>
          <w:rFonts w:cs="仿宋_GB2312" w:hint="eastAsia"/>
          <w:szCs w:val="32"/>
          <w:shd w:val="clear" w:color="auto" w:fill="FFFFFF"/>
        </w:rPr>
        <w:t xml:space="preserve">  运输期间用于保护货物的包装材料及容器的原产地不影响货物原产地的确定。</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适用《中哥自贸协定》项下产品特定原产地规则中税则归类改变标准的货物，其零售用包装材料及容器与该货物一并归类的，该零售用包装材料及容器的原产地不影响货物原产地的确定。</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适用《中哥自贸协定》项下产品特定原产地规则中区域价值成分标准确定原产地的货物，其零售用包装材料和容器的价格应当纳入原产材料价格或者非原产材料价格予以计算。</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第十三条</w:t>
      </w:r>
      <w:r>
        <w:rPr>
          <w:rFonts w:cs="仿宋_GB2312" w:hint="eastAsia"/>
          <w:szCs w:val="32"/>
          <w:shd w:val="clear" w:color="auto" w:fill="FFFFFF"/>
        </w:rPr>
        <w:t xml:space="preserve">  适用《中哥自贸协定》项下产品特定原产地规则中税则归类改变标准确定原产地的货物，与该货物一起申报进口的附件、备件或者工具，在《税则》中与该货物一并归类，并且不单独开具发票的，其原产地不影响货物原产地的确定。</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适用《中哥自贸协定》项下产品特定原产地规则中区域价值成分标准确定原产地的货物，在计算区域价值成分时，与该货物一起申报进口的附件、备件或者工具的价格应当纳入原产材料价格或者非原产材料价格予以计算。</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本条第一款与第二款所述附件、备件或者工具的数量与价格应当在合理范围之内。</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第十四条</w:t>
      </w:r>
      <w:r>
        <w:rPr>
          <w:rFonts w:cs="仿宋_GB2312" w:hint="eastAsia"/>
          <w:szCs w:val="32"/>
          <w:shd w:val="clear" w:color="auto" w:fill="FFFFFF"/>
        </w:rPr>
        <w:t xml:space="preserve">  在确定货物的原产地时，货物生产、测试或者检验过程中使用，但本身不构成货物物质成分的下列材料或者物品，其原产地不影响货物原产地的确定：</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（一）燃料、能源、催化剂及溶剂；</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（二）用于测试或者检验货物的设备、装置及用品；</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（三）手套、眼镜、鞋靴、衣服、安全设备及用品；</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（四）工具、模具及型模；</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（五）用于维护设备和建筑的备件及材料；</w:t>
      </w:r>
    </w:p>
    <w:p>
      <w:pPr>
        <w:pStyle w:val="67"/>
        <w:widowControl/>
        <w:shd w:val="clear" w:color="auto" w:fill="FFFFFF"/>
        <w:spacing w:line="560" w:lineRule="exact"/>
        <w:ind w:firstLine="649"/>
        <w:jc w:val="left"/>
        <w:rPr>
          <w:rFonts w:cs="仿宋_GB2312"/>
          <w:szCs w:val="32"/>
          <w:shd w:val="clear" w:color="auto" w:fill="FFFFFF"/>
        </w:rPr>
      </w:pPr>
      <w:r>
        <w:rPr>
          <w:rFonts w:cs="仿宋_GB2312" w:hint="eastAsia"/>
          <w:szCs w:val="32"/>
          <w:shd w:val="clear" w:color="auto" w:fill="FFFFFF"/>
        </w:rPr>
        <w:t>（六）在生产中使用或者用于运行设备和维护厂房建筑的润滑油、油（滑）脂、合成材料及其他材料；</w:t>
      </w:r>
    </w:p>
    <w:p>
      <w:pPr>
        <w:pStyle w:val="67"/>
        <w:widowControl/>
        <w:shd w:val="clear" w:color="auto" w:fill="FFFFFF"/>
        <w:spacing w:line="560" w:lineRule="exact"/>
        <w:ind w:firstLine="649"/>
        <w:jc w:val="left"/>
        <w:rPr>
          <w:rFonts w:cs="仿宋_GB2312" w:hint="eastAsia"/>
          <w:szCs w:val="32"/>
          <w:shd w:val="clear" w:color="auto" w:fill="FFFFFF"/>
        </w:rPr>
      </w:pPr>
      <w:r>
        <w:rPr>
          <w:rFonts w:cs="仿宋_GB2312" w:hint="eastAsia"/>
          <w:szCs w:val="32"/>
          <w:shd w:val="clear" w:color="auto" w:fill="FFFFFF"/>
        </w:rPr>
        <w:t>（七）在货物生产过程中使用，未构成该货物组成成分，但能够合理表明其参与了该货物生产过程的任何其他货物。</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第十五条</w:t>
      </w:r>
      <w:r>
        <w:rPr>
          <w:rFonts w:cs="仿宋_GB2312" w:hint="eastAsia"/>
          <w:szCs w:val="32"/>
          <w:shd w:val="clear" w:color="auto" w:fill="FFFFFF"/>
        </w:rPr>
        <w:t xml:space="preserve">  在确定货物原产地时，对性质相同、在商业上可以互换的货物或者材料，应当通过下列方法加以区分：</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（一）货物或者材料的物理分离；</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（二）出口方公认会计原则承认的库存管理方法。该库存管理方法应当在整个财政年度内连续使用。</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第十六条</w:t>
      </w:r>
      <w:r>
        <w:rPr>
          <w:rFonts w:cs="仿宋_GB2312" w:hint="eastAsia"/>
          <w:szCs w:val="32"/>
          <w:shd w:val="clear" w:color="auto" w:fill="FFFFFF"/>
        </w:rPr>
        <w:t xml:space="preserve">  本办法第三条所称的“直接运输”是指《中哥自贸协定》项下进口货物从哥斯达黎加直接运输至我国境内，途中未经过中国、哥斯达黎加以外的其他国家或者地区（以下简称“其他国家或者地区”）。</w:t>
      </w:r>
    </w:p>
    <w:p>
      <w:pPr>
        <w:pStyle w:val="67"/>
        <w:widowControl/>
        <w:shd w:val="clear" w:color="auto" w:fill="FFFFFF"/>
        <w:spacing w:line="560" w:lineRule="exact"/>
        <w:ind w:firstLine="633"/>
        <w:jc w:val="left"/>
        <w:rPr>
          <w:rFonts w:cs="仿宋_GB2312"/>
          <w:szCs w:val="32"/>
          <w:shd w:val="clear" w:color="auto" w:fill="FFFFFF"/>
        </w:rPr>
      </w:pPr>
      <w:r>
        <w:rPr>
          <w:rFonts w:cs="仿宋_GB2312" w:hint="eastAsia"/>
          <w:szCs w:val="32"/>
          <w:shd w:val="clear" w:color="auto" w:fill="FFFFFF"/>
        </w:rPr>
        <w:t>原产于哥斯达黎加的货物，经过其他国家或者地区运输至我国，不论在运输途中是否转换运输工具或者作临时储存，同时符合下列条件的，应当视为“直接运输”：</w:t>
      </w:r>
    </w:p>
    <w:p>
      <w:pPr>
        <w:pStyle w:val="67"/>
        <w:widowControl/>
        <w:shd w:val="clear" w:color="auto" w:fill="FFFFFF"/>
        <w:spacing w:line="560" w:lineRule="exact"/>
        <w:ind w:firstLine="633"/>
        <w:jc w:val="left"/>
        <w:rPr>
          <w:rFonts w:cs="仿宋_GB2312" w:hint="eastAsia"/>
          <w:szCs w:val="32"/>
          <w:shd w:val="clear" w:color="auto" w:fill="FFFFFF"/>
        </w:rPr>
      </w:pPr>
      <w:r>
        <w:rPr>
          <w:rFonts w:cs="仿宋_GB2312" w:hint="eastAsia"/>
          <w:szCs w:val="32"/>
          <w:shd w:val="clear" w:color="auto" w:fill="FFFFFF"/>
        </w:rPr>
        <w:t>（一）该货物经过这些国家或者地区仅是由于地理原因或者运输需要；</w:t>
      </w:r>
    </w:p>
    <w:p>
      <w:pPr>
        <w:pStyle w:val="67"/>
        <w:widowControl/>
        <w:shd w:val="clear" w:color="auto" w:fill="FFFFFF"/>
        <w:spacing w:line="560" w:lineRule="exact"/>
        <w:ind w:firstLine="633"/>
        <w:jc w:val="left"/>
        <w:rPr>
          <w:rFonts w:cs="仿宋_GB2312"/>
          <w:szCs w:val="32"/>
          <w:shd w:val="clear" w:color="auto" w:fill="FFFFFF"/>
        </w:rPr>
      </w:pPr>
      <w:r>
        <w:rPr>
          <w:rFonts w:cs="仿宋_GB2312" w:hint="eastAsia"/>
          <w:szCs w:val="32"/>
          <w:shd w:val="clear" w:color="auto" w:fill="FFFFFF"/>
        </w:rPr>
        <w:t>（二）未进入这些国家或者地区进行贸易或者消费；</w:t>
      </w:r>
    </w:p>
    <w:p>
      <w:pPr>
        <w:pStyle w:val="67"/>
        <w:widowControl/>
        <w:shd w:val="clear" w:color="auto" w:fill="FFFFFF"/>
        <w:spacing w:line="560" w:lineRule="exact"/>
        <w:ind w:firstLine="633"/>
        <w:jc w:val="left"/>
        <w:rPr>
          <w:rFonts w:cs="仿宋_GB2312"/>
          <w:szCs w:val="32"/>
          <w:shd w:val="clear" w:color="auto" w:fill="FFFFFF"/>
        </w:rPr>
      </w:pPr>
      <w:r>
        <w:rPr>
          <w:rFonts w:cs="仿宋_GB2312" w:hint="eastAsia"/>
          <w:szCs w:val="32"/>
          <w:shd w:val="clear" w:color="auto" w:fill="FFFFFF"/>
        </w:rPr>
        <w:t>（三）该货物经过这些国家或者地区时，未做除装卸、重新包装或者其他为使货物保持良好状态所必需处理以外的其他处理；</w:t>
      </w:r>
    </w:p>
    <w:p>
      <w:pPr>
        <w:pStyle w:val="67"/>
        <w:widowControl/>
        <w:shd w:val="clear" w:color="auto" w:fill="FFFFFF"/>
        <w:spacing w:line="560" w:lineRule="exact"/>
        <w:ind w:firstLine="633"/>
        <w:jc w:val="left"/>
        <w:rPr>
          <w:rFonts w:cs="仿宋_GB2312" w:hint="eastAsia"/>
          <w:szCs w:val="32"/>
          <w:shd w:val="clear" w:color="auto" w:fill="FFFFFF"/>
        </w:rPr>
      </w:pPr>
      <w:r>
        <w:rPr>
          <w:rFonts w:cs="仿宋_GB2312" w:hint="eastAsia"/>
          <w:szCs w:val="32"/>
          <w:shd w:val="clear" w:color="auto" w:fill="FFFFFF"/>
        </w:rPr>
        <w:t>（四）处于这些国家或者地区海关的监管之下。</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本条第二款规定的情况下，相关货物进入其他国家或者地区停留时间最长不得超过3个月。</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第十七条</w:t>
      </w:r>
      <w:r>
        <w:rPr>
          <w:rFonts w:cs="仿宋_GB2312" w:hint="eastAsia"/>
          <w:szCs w:val="32"/>
          <w:shd w:val="clear" w:color="auto" w:fill="FFFFFF"/>
        </w:rPr>
        <w:t xml:space="preserve">  货物申报进口时，进口货物收货人或者其代理人应当按照海关的申报规定填制《中华人民共和国海关进口货物报关单》（以下简称《进口报关单》），申明适用《中哥自贸协定》协定税率，并同时提交下列单证：</w:t>
      </w:r>
    </w:p>
    <w:p>
      <w:pPr>
        <w:pStyle w:val="67"/>
        <w:widowControl/>
        <w:shd w:val="clear" w:color="auto" w:fill="FFFFFF"/>
        <w:spacing w:line="560" w:lineRule="exact"/>
        <w:ind w:firstLineChars="200" w:firstLine="640"/>
        <w:jc w:val="left"/>
        <w:rPr>
          <w:rFonts w:cs="仿宋_GB2312" w:hint="eastAsia"/>
          <w:szCs w:val="32"/>
          <w:shd w:val="clear" w:color="auto" w:fill="FFFFFF"/>
        </w:rPr>
      </w:pPr>
      <w:r>
        <w:rPr>
          <w:rFonts w:cs="仿宋_GB2312" w:hint="eastAsia"/>
          <w:szCs w:val="32"/>
          <w:shd w:val="clear" w:color="auto" w:fill="FFFFFF"/>
        </w:rPr>
        <w:t>（一）由哥斯达黎加授权机构签发的有效原产地证书正本（格式见附件1）。</w:t>
      </w:r>
    </w:p>
    <w:p>
      <w:pPr>
        <w:pStyle w:val="67"/>
        <w:widowControl/>
        <w:shd w:val="clear" w:color="auto" w:fill="FFFFFF"/>
        <w:spacing w:line="560" w:lineRule="exact"/>
        <w:ind w:firstLineChars="200" w:firstLine="640"/>
        <w:jc w:val="left"/>
        <w:rPr>
          <w:rFonts w:cs="仿宋_GB2312" w:hint="eastAsia"/>
          <w:szCs w:val="32"/>
          <w:shd w:val="clear" w:color="auto" w:fill="FFFFFF"/>
        </w:rPr>
      </w:pPr>
      <w:r>
        <w:rPr>
          <w:rFonts w:cs="仿宋_GB2312" w:hint="eastAsia"/>
          <w:szCs w:val="32"/>
          <w:shd w:val="clear" w:color="auto" w:fill="FFFFFF"/>
        </w:rPr>
        <w:t>（二）货物的商业发票正本、装箱单及其相关运输单证。</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货物经过其他国家或者地区运输至我国境内的，应当提交在哥斯达黎加境内签发的联运提单、货物的商业发票正本以及证明货物符合本办法第十六条第二款规定的相关文件；货物在其他国家或者地区境内临时储存的，还应提交该国家或者地区海关出具的证明文件。</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货物申报进口时，进口货物收货人或者其代理人未提交有效原产地证书正本，也未就该进口货物是否具备哥斯达黎加原产资格向海关进行补充申报的，其申报进口的货物不适用《中哥自贸协定》协定税率，海关应当依法按照该货物适用的最惠国税率、普通税率或者其他税率计征关税及进口环节海关代征税，并按照规定办理进口手续、进行海关统计。收货人或者其代理人在货物征税放行后向海关提交原产地证书的，已征税款不予调整。</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第十八条</w:t>
      </w:r>
      <w:r>
        <w:rPr>
          <w:rFonts w:cs="仿宋_GB2312" w:hint="eastAsia"/>
          <w:szCs w:val="32"/>
          <w:shd w:val="clear" w:color="auto" w:fill="FFFFFF"/>
        </w:rPr>
        <w:t xml:space="preserve">  原产地申报为哥斯达黎加的进口货物，收货人或者其代理人在申报进口时未提交原产地证书的，应当在办结海关手续前就该进口货物是否具备哥斯达黎加原产资格向海关进行补充申报（格式见附件2）。</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进口货物收货人或者其代理人依照本条第一款规定就进口货物具备哥斯达黎加原产资格向海关进行补充申报的，海关可以根据进口货物收货人或者其代理人的申请，收取相当于应缴税款的等值保证金后放行货物，并按照规定办理进口手续，进行海关统计。</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第十九条</w:t>
      </w:r>
      <w:r>
        <w:rPr>
          <w:rFonts w:cs="仿宋_GB2312" w:hint="eastAsia"/>
          <w:szCs w:val="32"/>
          <w:shd w:val="clear" w:color="auto" w:fill="FFFFFF"/>
        </w:rPr>
        <w:t xml:space="preserve">  同时具备下列条件的，进口货物收货人或者其代理人可以自收取保证金之日起3个月内，向海关申请退还保证金：</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（一）进口时已就进口货物具备哥斯达黎加原产资格向海关进行补充申报，申明适用《中哥自贸协定》协定税率；</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（二）提交有效原产地证书以及海关要求提供的与货物进口相关的其他文件。</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经海关批准，本条第一款规定的担保期限可以延长，但最长不得超过1年。</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自缴纳保证金之日起3个月内或者经海关批准延长的担保期限内，进口货物收货人或者其代理人未提出退还保证金申请的，海关应当立即办理保证金转为进口税款手续，海关统计数据同时作相应修改。</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第二十条</w:t>
      </w:r>
      <w:r>
        <w:rPr>
          <w:rFonts w:cs="仿宋_GB2312" w:hint="eastAsia"/>
          <w:szCs w:val="32"/>
          <w:shd w:val="clear" w:color="auto" w:fill="FFFFFF"/>
        </w:rPr>
        <w:t xml:space="preserve">  原产于哥斯达黎加的进口货物，经海关依法确定的计税价格不超过600美元的，免予提交原产地证书。进口货物收货人应当同时按照《中哥自贸协定》的要求就进口货物具备原产资格进行书面声明。</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为规避本办法规定，一次或者多次进口货物的，不适用前款规定。</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第二十一条</w:t>
      </w:r>
      <w:r>
        <w:rPr>
          <w:rFonts w:cs="仿宋_GB2312" w:hint="eastAsia"/>
          <w:szCs w:val="32"/>
          <w:shd w:val="clear" w:color="auto" w:fill="FFFFFF"/>
        </w:rPr>
        <w:t xml:space="preserve">  具有下列情形之一的，该进口货物不适用《中哥自贸协定》协定税率：</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（一）进口货物的原产地不符合本办法第三条至第十六条规定的；</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（二）货物申报进口时，进口货物收货人或者其代理人没有向海关提交有效原产地证书正本，也未就进口货物具备哥斯达黎加原产资格进行补充申报的；</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（三）哥斯达黎加未将授权机构名称、原产地证书安全特征或者上述信息的任何变化通知中国海关的；</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（四）原产地证书未正确填写，或者原产地证书所使用的安全特征与海关备案资料不一致的；</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（五）原产地证书所列内容与其他证明文件所列信息不符的；</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（六）原产地证书所列内容与实际进口货物不符的；</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（七）自提出原产地核查请求之日起，海关没有在《中哥自贸协定》规定的期限内收到进口货物收货人或者其代理人、哥斯达黎加出口商或者生产商就进口货物原产资格提供的补充信息的；</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（八）自提出原产地核查请求之日起，海关没有在《中哥自贸协定》规定的期限内收到哥斯达黎加授权机构的核查反馈结果，或者反馈结果未包含足以确定原产地证书真实性或者货物真实原产地信息的；</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（九）进口货物收货人或者其代理人存在其他不遵守本办法有关规定行为的。</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第二十二条</w:t>
      </w:r>
      <w:r>
        <w:rPr>
          <w:rFonts w:cs="仿宋_GB2312" w:hint="eastAsia"/>
          <w:szCs w:val="32"/>
          <w:shd w:val="clear" w:color="auto" w:fill="FFFFFF"/>
        </w:rPr>
        <w:t xml:space="preserve">  进口货物收货人或者其代理人向海关提交的原产地证书应当同时符合下列条件：</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（一）由哥斯达黎加授权机构在货物出口前或者出口时签发；</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（二）符合本办法附件1所列格式，以英文填制并由出口商署名和盖章；</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（三）含有包括哥斯达黎加通知中国海关的印章样本等内容的安全特征；</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（四）所列的一项或者多项货物为同一批次的进口货物；</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（五）仅有一份正本，并且具有不重复的原产地证书编号；</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（六）注明确定货物具有原产资格的依据。</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第二十三条</w:t>
      </w:r>
      <w:r>
        <w:rPr>
          <w:rFonts w:cs="仿宋_GB2312" w:hint="eastAsia"/>
          <w:szCs w:val="32"/>
          <w:shd w:val="clear" w:color="auto" w:fill="FFFFFF"/>
        </w:rPr>
        <w:t xml:space="preserve">  原产地证书自签发之日起12个月内有效。</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第二十四条</w:t>
      </w:r>
      <w:r>
        <w:rPr>
          <w:rFonts w:cs="仿宋_GB2312" w:hint="eastAsia"/>
          <w:szCs w:val="32"/>
          <w:shd w:val="clear" w:color="auto" w:fill="FFFFFF"/>
        </w:rPr>
        <w:t xml:space="preserve">  具有下列情形之一的，原产地证书可以自货物出口之日起12个月内予以补发：</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（一）由于不可抗力没有在出口前或者出口时签发原产地证书的；</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（二）哥斯达黎加授权机构确信已签发原产地证书，但由于技术原因，原产地证书在进口时未被接受的。</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补发的原产地证书应注明“补发”字样。本条第一款第（一）项情形下，补发证书自货物实际出口之日起12个月内有效；第一款第（二）项情形下，补发证书的有效期应当与原证书的有效期一致。</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第二十五条</w:t>
      </w:r>
      <w:r>
        <w:rPr>
          <w:rFonts w:cs="仿宋_GB2312" w:hint="eastAsia"/>
          <w:szCs w:val="32"/>
          <w:shd w:val="clear" w:color="auto" w:fill="FFFFFF"/>
        </w:rPr>
        <w:t xml:space="preserve">  原产地证书被盗、遗失或者损毁，并且未经使用的，进口货物收货人或者其代理人可以要求进口货物的出口商或者制造商向哥斯达黎加授权机构书面申请在原证书正本有效期内签发注明“经核准的真实副本”字样的原产地证书副本。</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经核准的原产地证书副本向海关提交后，原产地证书正本失效。</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原产地证书正本已经使用的，经核准的原产地证书副本无效。</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第二十六条</w:t>
      </w:r>
      <w:r>
        <w:rPr>
          <w:rFonts w:cs="仿宋_GB2312" w:hint="eastAsia"/>
          <w:szCs w:val="32"/>
          <w:shd w:val="clear" w:color="auto" w:fill="FFFFFF"/>
        </w:rPr>
        <w:t xml:space="preserve">  海关对《中哥自贸协定》项下原产地证书的真实性，相关进口货物是否原产于哥斯达黎加，或者是否符合本办法其他规定产生怀疑时，可以通过以下方式进行核实：</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（一）书面要求进口货物的收货人或者其代理人提供补充信息；</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（二）书面要求哥斯达黎加境内的出口商或者生产商提供补充信息；</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（三）要求哥斯达黎加授权机构对货物原产地进行核查；</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（四）与哥斯达黎加海关商定的其他程序。</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在等待核查结果期间，依照进口货物收货人或者其代理人申请，海关可以依法选择按照该货物适用的最惠国税率、普通税率或者其他税率收取相当于应缴税款的等值保证金后放行货物，并且按照规定办理进口手续、进行海关统计。核查完毕后，海关应当根据核查结果，立即办理保证金退还手续或者保证金转为进口税款手续，海关统计数据应当作相应修改。</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进口货物属于国家禁止或者限制进口货物，或者存在瞒骗嫌疑的，海关在原产地证书核实完毕前不得放行货物。</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第二十七条</w:t>
      </w:r>
      <w:r>
        <w:rPr>
          <w:rFonts w:cs="仿宋_GB2312" w:hint="eastAsia"/>
          <w:szCs w:val="32"/>
          <w:shd w:val="clear" w:color="auto" w:fill="FFFFFF"/>
        </w:rPr>
        <w:t xml:space="preserve">  出口货物申报时，出口货物发货人或者其代理人应当按照海关的申报规定填制“中华人民共和国海关出口货物报关单”，并向海关提交《中哥自贸协定》项下原产地证书电子数据或者原产地证书正本的复印件。</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第二十八条</w:t>
      </w:r>
      <w:r>
        <w:rPr>
          <w:rFonts w:cs="仿宋_GB2312" w:hint="eastAsia"/>
          <w:szCs w:val="32"/>
          <w:shd w:val="clear" w:color="auto" w:fill="FFFFFF"/>
        </w:rPr>
        <w:t xml:space="preserve">  《中哥自贸协定》项下进出口货物及其包装上标有原产地标记的，其原产地标记应当与依照本办法确定的货物原产地相一致。</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第二十九条</w:t>
      </w:r>
      <w:r>
        <w:rPr>
          <w:rFonts w:cs="仿宋_GB2312" w:hint="eastAsia"/>
          <w:szCs w:val="32"/>
          <w:shd w:val="clear" w:color="auto" w:fill="FFFFFF"/>
        </w:rPr>
        <w:t xml:space="preserve">  进出口货物收发货人可以依照《中华人民共和国海关行政裁定管理暂行办法》的规定，向海关申请《中哥自贸协定》项下进出口货物原产地行政裁定。</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第三十条</w:t>
      </w:r>
      <w:r>
        <w:rPr>
          <w:rFonts w:cs="仿宋_GB2312" w:hint="eastAsia"/>
          <w:szCs w:val="32"/>
          <w:shd w:val="clear" w:color="auto" w:fill="FFFFFF"/>
        </w:rPr>
        <w:t xml:space="preserve">  海关对依照本办法规定获得的商业秘密依法负有保密义务。未经进出口货物收发货人同意，海关不得泄露或者用于其他用途，但是法律、行政法规及相关司法解释另有规定的除外。</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第三十一条</w:t>
      </w:r>
      <w:r>
        <w:rPr>
          <w:rFonts w:cs="黑体" w:hint="eastAsia"/>
          <w:szCs w:val="32"/>
          <w:shd w:val="clear" w:color="auto" w:fill="FFFFFF"/>
        </w:rPr>
        <w:t xml:space="preserve"> </w:t>
      </w:r>
      <w:r>
        <w:rPr>
          <w:rFonts w:cs="仿宋_GB2312" w:hint="eastAsia"/>
          <w:szCs w:val="32"/>
          <w:shd w:val="clear" w:color="auto" w:fill="FFFFFF"/>
        </w:rPr>
        <w:t xml:space="preserve"> 违反本办法，构成走私行为、违反海关监管规定行为或者其他违反《海关法》行为的，由海关依照《海关法》和《中华人民共和国海关行政处罚实施条例》的有关规定予以处理；构成犯罪的，依法追究刑事责任。</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第三十二条</w:t>
      </w:r>
      <w:r>
        <w:rPr>
          <w:rFonts w:cs="黑体" w:hint="eastAsia"/>
          <w:szCs w:val="32"/>
          <w:shd w:val="clear" w:color="auto" w:fill="FFFFFF"/>
        </w:rPr>
        <w:t xml:space="preserve">  </w:t>
      </w:r>
      <w:r>
        <w:rPr>
          <w:rFonts w:cs="仿宋_GB2312" w:hint="eastAsia"/>
          <w:szCs w:val="32"/>
          <w:shd w:val="clear" w:color="auto" w:fill="FFFFFF"/>
        </w:rPr>
        <w:t>本办法下列用语的含义：</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“材料”，是指在生产另一货物过程中所使用的货物，包括任何组分、成分、组件、原材料、零件或者部件；</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“生产”，是指获得货物的方法，包括但不限于货物的种植、饲养、开采、收获、捕捞、耕种、诱捕、狩猎、捕获、采集、收集、养殖、提取、制造、加工或者装配；</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公认的会计原则”，是指在中国或者哥斯达黎加境内有关记录收入、支出、成本、资产及负债、信息披露以及编制财务报表方面的公认的一致意见或者实质性权威支持。公认会计原则既包括普遍适用的概括性指导原则，也包括详细的标准、惯例以及程序；</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“可互换材料或者货物”，是指为其性质实质相同、在商业上可以互换的货物或者材料。</w:t>
      </w: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第三十三条</w:t>
      </w:r>
      <w:r>
        <w:rPr>
          <w:rFonts w:cs="仿宋_GB2312" w:hint="eastAsia"/>
          <w:szCs w:val="32"/>
          <w:shd w:val="clear" w:color="auto" w:fill="FFFFFF"/>
        </w:rPr>
        <w:t xml:space="preserve">  本办法由海关总署负责解释。</w:t>
      </w:r>
    </w:p>
    <w:p>
      <w:pPr>
        <w:pStyle w:val="67"/>
        <w:widowControl/>
        <w:shd w:val="clear" w:color="auto" w:fill="FFFFFF"/>
        <w:spacing w:line="560" w:lineRule="exact"/>
        <w:ind w:firstLine="640"/>
        <w:jc w:val="left"/>
        <w:rPr>
          <w:rFonts w:cs="仿宋_GB2312" w:hint="eastAsia"/>
          <w:szCs w:val="32"/>
          <w:shd w:val="clear" w:color="auto" w:fill="FFFFFF"/>
        </w:rPr>
      </w:pPr>
      <w:r>
        <w:rPr>
          <w:rFonts w:ascii="方正黑体_GBK" w:eastAsia="方正黑体_GBK" w:cs="黑体" w:hint="eastAsia"/>
          <w:szCs w:val="32"/>
        </w:rPr>
        <w:t>第三十四条</w:t>
      </w:r>
      <w:r>
        <w:rPr>
          <w:rFonts w:cs="仿宋_GB2312" w:hint="eastAsia"/>
          <w:szCs w:val="32"/>
          <w:shd w:val="clear" w:color="auto" w:fill="FFFFFF"/>
        </w:rPr>
        <w:t xml:space="preserve">  本办法自2011年8月1日起施行。</w:t>
      </w:r>
    </w:p>
    <w:p>
      <w:pPr>
        <w:pStyle w:val="67"/>
        <w:widowControl/>
        <w:shd w:val="clear" w:color="auto" w:fill="FFFFFF"/>
        <w:spacing w:line="560" w:lineRule="exact"/>
        <w:ind w:left="0"/>
        <w:jc w:val="left"/>
        <w:rPr>
          <w:rFonts w:cs="仿宋_GB2312" w:hint="eastAsia"/>
          <w:szCs w:val="32"/>
          <w:shd w:val="clear" w:color="auto" w:fill="FFFFFF"/>
        </w:rPr>
      </w:pPr>
    </w:p>
    <w:p>
      <w:pPr>
        <w:pStyle w:val="67"/>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附件：1.原产地证书</w:t>
      </w:r>
      <w:r>
        <w:rPr>
          <w:rFonts w:cs="仿宋_GB2312"/>
          <w:szCs w:val="32"/>
          <w:shd w:val="clear" w:color="auto" w:fill="FFFFFF"/>
        </w:rPr>
        <w:t>（略）</w:t>
      </w:r>
    </w:p>
    <w:p>
      <w:pPr>
        <w:pStyle w:val="67"/>
        <w:keepNext w:val="0"/>
        <w:widowControl/>
        <w:shd w:val="clear" w:color="auto" w:fill="FFFFFF"/>
        <w:spacing w:line="560" w:lineRule="exact"/>
        <w:jc w:val="left"/>
        <w:rPr>
          <w:rFonts w:ascii="方正黑体_GBK" w:eastAsia="方正黑体_GBK" w:hint="eastAsia"/>
        </w:rPr>
      </w:pPr>
      <w:r>
        <w:rPr>
          <w:rFonts w:cs="仿宋_GB2312" w:hint="eastAsia"/>
          <w:szCs w:val="32"/>
          <w:shd w:val="clear" w:color="auto" w:fill="FFFFFF"/>
        </w:rPr>
        <w:t>　　      2.原产资格申明</w:t>
      </w:r>
      <w:r>
        <w:rPr>
          <w:rFonts w:cs="仿宋_GB2312"/>
          <w:szCs w:val="32"/>
          <w:shd w:val="clear" w:color="auto" w:fill="FFFFFF"/>
        </w:rPr>
        <w:t>（略）</w:t>
      </w:r>
    </w:p>
    <w:sectPr>
      <w:pgSz w:w="11907" w:h="16840"/>
      <w:pgMar w:top="2041" w:right="1531" w:bottom="2041" w:left="1531" w:header="851" w:footer="992" w:gutter="0"/>
      <w:docGrid w:type="lines" w:linePitch="312" w:charSpace="-6553"/>
    </w:sectPr>
  </w:body>
</w:document>
</file>

<file path=word/fontTable.xml><?xml version="1.0" encoding="utf-8"?>
<w:fonts xmlns:w="http://schemas.openxmlformats.org/wordprocessingml/2006/main" xmlns:r="http://schemas.openxmlformats.org/officeDocument/2006/relationships">
  <w:font w:name="方正黑体_GBK">
    <w:panose1 w:val="00000000000000000000"/>
    <w:charset w:val="86"/>
    <w:family w:val="script"/>
    <w:pitch w:val="variable"/>
    <w:sig w:usb0="00000001" w:usb1="080E0000" w:usb2="00000010" w:usb3="00000000" w:csb0="00040000" w:csb1="00000000"/>
  </w:font>
  <w:font w:name="仿宋_GB2312">
    <w:altName w:val="仿宋"/>
    <w:panose1 w:val="00000000000000000000"/>
    <w:charset w:val="00"/>
    <w:family w:val="auto"/>
    <w:pitch w:val="variable"/>
    <w:sig w:usb0="00000000" w:usb1="00000000" w:usb2="00000000" w:usb3="00000000" w:csb0="00000000" w:csb1="00000000"/>
  </w:font>
  <w:font w:name="方正小标宋_GBK">
    <w:altName w:val="苹方-简"/>
    <w:panose1 w:val="03000509000000000000"/>
    <w:charset w:val="86"/>
    <w:family w:val="script"/>
    <w:pitch w:val="variable"/>
    <w:sig w:usb0="00000001" w:usb1="080E0000" w:usb2="00000010" w:usb3="00000000" w:csb0="00040000" w:csb1="00000000"/>
  </w:font>
  <w:font w:name="Times New Roman">
    <w:panose1 w:val="02020603050405020304"/>
    <w:charset w:val="00"/>
    <w:family w:val="auto"/>
    <w:pitch w:val="variable"/>
    <w:sig w:usb0="00000A87" w:usb1="00000000" w:usb2="00000000" w:usb3="00000000" w:csb0="400001BF" w:csb1="DFF70000"/>
  </w:font>
  <w:font w:name="黑体">
    <w:altName w:val="方正黑体_GBK"/>
    <w:panose1 w:val="02010609060101010101"/>
    <w:charset w:val="86"/>
    <w:family w:val="auto"/>
    <w:pitch w:val="variable"/>
    <w:sig w:usb0="800002BF" w:usb1="38CF7CFA" w:usb2="00000016" w:usb3="00000000" w:csb0="00040001" w:csb1="00000000"/>
  </w:font>
  <w:font w:name="宋体">
    <w:panose1 w:val="02010600030101010101"/>
    <w:charset w:val="86"/>
    <w:family w:val="auto"/>
    <w:pitch w:val="variable"/>
    <w:sig w:usb0="00000003" w:usb1="080E0000" w:usb2="00000000" w:usb3="00000000" w:csb0="00040001" w:csb1="00000000"/>
  </w:font>
  <w:font w:name="方正仿宋_GBK">
    <w:panose1 w:val="03000509000000000000"/>
    <w:charset w:val="86"/>
    <w:family w:val="script"/>
    <w:pitch w:val="variable"/>
    <w:sig w:usb0="00000001" w:usb1="080E0000" w:usb2="00000000" w:usb3="00000000" w:csb0="00040000" w:csb1="00000000"/>
  </w:font>
  <w:font w:name="Arial">
    <w:altName w:val="DejaVu Sans"/>
    <w:panose1 w:val="020B0604020202020204"/>
    <w:charset w:val="00"/>
    <w:family w:val="auto"/>
    <w:pitch w:val="variable"/>
    <w:sig w:usb0="00007A87" w:usb1="80000000" w:usb2="00000008" w:usb3="00000000" w:csb0="400001FF" w:csb1="FFFF0000"/>
  </w:font>
  <w:font w:name="Calibri">
    <w:altName w:val="Times New Roman"/>
    <w:panose1 w:val="020F0502020204030204"/>
    <w:charset w:val="00"/>
    <w:family w:val="swiss"/>
    <w:pitch w:val="variable"/>
    <w:sig w:usb0="E00002FF" w:usb1="4000ACFF" w:usb2="00000001" w:usb3="00000000" w:csb0="0000019F" w:csb1="00000000"/>
  </w:font>
  <w:font w:name="Arial Unicode MS">
    <w:altName w:val="DejaVu Sans"/>
    <w:panose1 w:val="00000000000000000000"/>
    <w:charset w:val="00"/>
    <w:family w:val="auto"/>
    <w:pitch w:val="variable"/>
    <w:sig w:usb0="00000000" w:usb1="00000000" w:usb2="00000000" w:usb3="00000000" w:csb0="00000000" w:csb1="00000000"/>
  </w:font>
  <w:font w:name="Lucida Sans">
    <w:altName w:val="DejaVu Sans"/>
    <w:panose1 w:val="00000000000000000000"/>
    <w:charset w:val="00"/>
    <w:family w:val="swiss"/>
    <w:pitch w:val="variable"/>
    <w:sig w:usb0="00000003" w:usb1="00000000" w:usb2="00000000" w:usb3="00000000" w:csb0="00000001" w:csb1="00000000"/>
  </w:font>
  <w:font w:name="Courier New">
    <w:altName w:val="DejaVu Sans"/>
    <w:panose1 w:val="02070409020205090404"/>
    <w:charset w:val="00"/>
    <w:family w:val="auto"/>
    <w:pitch w:val="variable"/>
    <w:sig w:usb0="00007A87" w:usb1="80000000" w:usb2="00000008" w:usb3="00000000" w:csb0="400001FF" w:csb1="FFFF0000"/>
  </w:font>
  <w:font w:name="SimSun">
    <w:altName w:val="宋体"/>
    <w:panose1 w:val="02010600030101010101"/>
    <w:charset w:val="86"/>
    <w:family w:val="auto"/>
    <w:pitch w:val="variable"/>
    <w:sig w:usb0="00000003" w:usb1="080E0000" w:usb2="00000000" w:usb3="00000000" w:csb0="00040001" w:csb1="00000000"/>
  </w:font>
  <w:font w:name="等线">
    <w:altName w:val="方正黑体_GBK"/>
    <w:panose1 w:val="00000000000000000000"/>
    <w:charset w:val="00"/>
    <w:family w:val="auto"/>
    <w:pitch w:val="variable"/>
    <w:sig w:usb0="00000000" w:usb1="00000000" w:usb2="00000000" w:usb3="00000000" w:csb0="0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FFFFF88"/>
    <w:multiLevelType w:val="singleLevel"/>
    <w:tmpl w:val="00000000"/>
    <w:lvl w:ilvl="0">
      <w:start w:val="1"/>
      <w:numFmt w:val="decimal"/>
      <w:lvlRestart w:val="0"/>
      <w:pStyle w:val="49"/>
      <w:lvlText w:val="%1."/>
      <w:lvlJc w:val="left"/>
      <w:pPr>
        <w:tabs>
          <w:tab w:val="num" w:pos="360"/>
        </w:tabs>
        <w:ind w:left="360" w:hanging="360"/>
      </w:pPr>
    </w:lvl>
  </w:abstractNum>
  <w:abstractNum w:abstractNumId="1">
    <w:nsid w:val="FE3A0F26"/>
    <w:multiLevelType w:val="singleLevel"/>
    <w:tmpl w:val="00000000"/>
    <w:lvl w:ilvl="0">
      <w:start w:val="1"/>
      <w:numFmt w:val="bullet"/>
      <w:lvlRestart w:val="0"/>
      <w:pStyle w:val="54"/>
      <w:lvlText w:val="●"/>
      <w:lvlJc w:val="left"/>
      <w:pPr>
        <w:tabs>
          <w:tab w:val="num" w:pos="780"/>
        </w:tabs>
        <w:ind w:left="780" w:hanging="360"/>
      </w:pPr>
      <w:rPr>
        <w:rFonts w:ascii="宋体" w:hAnsi="宋体" w:hint="default"/>
      </w:rPr>
    </w:lvl>
  </w:abstractNum>
  <w:abstractNum w:abstractNumId="2">
    <w:nsid w:val="41D8E2A4"/>
    <w:multiLevelType w:val="singleLevel"/>
    <w:tmpl w:val="00000000"/>
    <w:lvl w:ilvl="0">
      <w:start w:val="1"/>
      <w:numFmt w:val="bullet"/>
      <w:lvlRestart w:val="0"/>
      <w:pStyle w:val="55"/>
      <w:lvlText w:val="●"/>
      <w:lvlJc w:val="left"/>
      <w:pPr>
        <w:tabs>
          <w:tab w:val="num" w:pos="1200"/>
        </w:tabs>
        <w:ind w:left="1200" w:hanging="360"/>
      </w:pPr>
      <w:rPr>
        <w:rFonts w:ascii="宋体" w:hAnsi="宋体" w:hint="default"/>
      </w:rPr>
    </w:lvl>
  </w:abstractNum>
  <w:abstractNum w:abstractNumId="3">
    <w:nsid w:val="E1599975"/>
    <w:multiLevelType w:val="singleLevel"/>
    <w:tmpl w:val="00000000"/>
    <w:lvl w:ilvl="0">
      <w:start w:val="1"/>
      <w:numFmt w:val="bullet"/>
      <w:lvlRestart w:val="0"/>
      <w:pStyle w:val="56"/>
      <w:lvlText w:val="●"/>
      <w:lvlJc w:val="left"/>
      <w:pPr>
        <w:tabs>
          <w:tab w:val="num" w:pos="1620"/>
        </w:tabs>
        <w:ind w:left="1620" w:hanging="360"/>
      </w:pPr>
      <w:rPr>
        <w:rFonts w:ascii="宋体" w:hAnsi="宋体" w:hint="default"/>
      </w:rPr>
    </w:lvl>
  </w:abstractNum>
  <w:abstractNum w:abstractNumId="4">
    <w:nsid w:val="C752CA00"/>
    <w:multiLevelType w:val="singleLevel"/>
    <w:tmpl w:val="00000000"/>
    <w:lvl w:ilvl="0">
      <w:start w:val="1"/>
      <w:numFmt w:val="bullet"/>
      <w:lvlRestart w:val="0"/>
      <w:pStyle w:val="57"/>
      <w:lvlText w:val="●"/>
      <w:lvlJc w:val="left"/>
      <w:pPr>
        <w:tabs>
          <w:tab w:val="num" w:pos="2040"/>
        </w:tabs>
        <w:ind w:left="2040" w:hanging="360"/>
      </w:pPr>
      <w:rPr>
        <w:rFonts w:ascii="宋体" w:hAnsi="宋体" w:hint="default"/>
      </w:rPr>
    </w:lvl>
  </w:abstractNum>
  <w:abstractNum w:abstractNumId="5">
    <w:nsid w:val="4F56E015"/>
    <w:multiLevelType w:val="singleLevel"/>
    <w:tmpl w:val="00000000"/>
    <w:lvl w:ilvl="0">
      <w:start w:val="1"/>
      <w:numFmt w:val="decimal"/>
      <w:lvlRestart w:val="0"/>
      <w:pStyle w:val="59"/>
      <w:lvlText w:val="%1."/>
      <w:lvlJc w:val="left"/>
      <w:pPr>
        <w:tabs>
          <w:tab w:val="num" w:pos="1200"/>
        </w:tabs>
        <w:ind w:left="1200" w:hanging="360"/>
      </w:pPr>
    </w:lvl>
  </w:abstractNum>
  <w:abstractNum w:abstractNumId="6">
    <w:nsid w:val="FC83710C"/>
    <w:multiLevelType w:val="singleLevel"/>
    <w:tmpl w:val="00000000"/>
    <w:lvl w:ilvl="0">
      <w:start w:val="1"/>
      <w:numFmt w:val="decimal"/>
      <w:lvlRestart w:val="0"/>
      <w:pStyle w:val="60"/>
      <w:lvlText w:val="%1."/>
      <w:lvlJc w:val="left"/>
      <w:pPr>
        <w:tabs>
          <w:tab w:val="num" w:pos="1620"/>
        </w:tabs>
        <w:ind w:left="16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83"/>
  <w:doNotDisplayPageBoundaries/>
  <w:displayBackgroundShape/>
  <w:bordersDoNotSurroundHeader/>
  <w:bordersDoNotSurroundFooter/>
  <w:trackRevisions/>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szCs w:val="22"/>
      <w:lang w:val="en-US" w:eastAsia="zh-CN" w:bidi="ar-SA"/>
    </w:rPr>
  </w:style>
  <w:style w:type="paragraph" w:styleId="1">
    <w:name w:val="heading 1"/>
    <w:next w:val="0"/>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autoRedefine/>
    <w:next w:val="0"/>
    <w:pPr>
      <w:ind w:left="1680"/>
    </w:pPr>
  </w:style>
  <w:style w:type="paragraph" w:styleId="16">
    <w:name w:val="toc 2"/>
    <w:autoRedefine/>
    <w:next w:val="0"/>
    <w:pPr>
      <w:widowControl w:val="0"/>
      <w:ind w:left="420"/>
      <w:jc w:val="both"/>
    </w:pPr>
    <w:rPr>
      <w:rFonts w:ascii="Times New Roman" w:eastAsia="方正仿宋_GBK" w:cs="Times New Roman" w:hAnsi="Times New Roman"/>
      <w:kern w:val="2"/>
      <w:sz w:val="32"/>
      <w:szCs w:val="22"/>
      <w:lang w:val="en-US" w:eastAsia="zh-CN" w:bidi="ar-SA"/>
    </w:rPr>
  </w:style>
  <w:style w:type="paragraph" w:styleId="17">
    <w:name w:val="toc 8"/>
    <w:basedOn w:val="0"/>
    <w:autoRedefine/>
    <w:next w:val="0"/>
    <w:pPr>
      <w:ind w:left="2940"/>
    </w:pPr>
  </w:style>
  <w:style w:type="paragraph" w:styleId="18">
    <w:name w:val="header"/>
    <w:next w:val="22"/>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styleId="19">
    <w:name w:val="footer"/>
    <w:basedOn w:val="0"/>
    <w:pPr>
      <w:tabs>
        <w:tab w:val="center" w:pos="4153"/>
        <w:tab w:val="right" w:pos="8307"/>
      </w:tabs>
      <w:snapToGrid w:val="0"/>
      <w:jc w:val="left"/>
    </w:pPr>
    <w:rPr>
      <w:sz w:val="18"/>
    </w:rPr>
  </w:style>
  <w:style w:type="paragraph" w:styleId="20">
    <w:name w:val="Title"/>
    <w:basedOn w:val="0"/>
    <w:pPr>
      <w:spacing w:before="240" w:after="60"/>
      <w:jc w:val="center"/>
      <w:outlineLvl w:val="0"/>
    </w:pPr>
    <w:rPr>
      <w:rFonts w:ascii="Arial" w:hAnsi="Arial"/>
      <w:b/>
      <w:sz w:val="32"/>
    </w:rPr>
  </w:style>
  <w:style w:type="paragraph" w:styleId="21">
    <w:name w:val="Closing"/>
    <w:basedOn w:val="0"/>
    <w:pPr>
      <w:ind w:left="4320"/>
    </w:pPr>
  </w:style>
  <w:style w:type="paragraph" w:customStyle="1" w:styleId="22">
    <w:name w:val="样式 23 三号"/>
    <w:next w:val="20"/>
    <w:pPr>
      <w:widowControl w:val="0"/>
      <w:jc w:val="both"/>
    </w:pPr>
    <w:rPr>
      <w:rFonts w:ascii="Times New Roman" w:eastAsia="方正仿宋_GBK" w:cs="Times New Roman" w:hAnsi="Times New Roman"/>
      <w:kern w:val="2"/>
      <w:sz w:val="32"/>
      <w:szCs w:val="32"/>
      <w:lang w:val="en-US" w:eastAsia="zh-CN" w:bidi="ar-SA"/>
    </w:rPr>
  </w:style>
  <w:style w:type="paragraph" w:customStyle="1" w:styleId="23">
    <w:name w:val="样式 24 三号"/>
    <w:next w:val="64"/>
    <w:pPr>
      <w:widowControl w:val="0"/>
      <w:jc w:val="both"/>
    </w:pPr>
    <w:rPr>
      <w:rFonts w:ascii="Times New Roman" w:eastAsia="方正仿宋_GBK" w:cs="Times New Roman" w:hAnsi="Times New Roman"/>
      <w:kern w:val="2"/>
      <w:sz w:val="32"/>
      <w:szCs w:val="32"/>
      <w:lang w:val="en-US" w:eastAsia="zh-CN" w:bidi="ar-SA"/>
    </w:rPr>
  </w:style>
  <w:style w:type="paragraph" w:customStyle="1" w:styleId="24">
    <w:name w:val="样式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5">
    <w:name w:val="style4"/>
    <w:next w:val="15"/>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6">
    <w:name w:val="样式 小四"/>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7">
    <w:name w:val="样式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8">
    <w:name w:val="样式 12 10 磅"/>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9">
    <w:name w:val="样式 1 10 磅"/>
    <w:pPr>
      <w:widowControl w:val="0"/>
      <w:jc w:val="both"/>
    </w:pPr>
    <w:rPr>
      <w:rFonts w:ascii="Calibri" w:eastAsia="宋体" w:cs="Arial" w:hAnsi="Calibri"/>
      <w:bCs/>
      <w:kern w:val="2"/>
      <w:sz w:val="21"/>
      <w:szCs w:val="22"/>
      <w:lang w:val="en-US" w:eastAsia="zh-CN" w:bidi="ar-SA"/>
    </w:rPr>
  </w:style>
  <w:style w:type="paragraph" w:customStyle="1" w:styleId="30">
    <w:name w:val="样式 2 10 磅"/>
    <w:pPr>
      <w:widowControl w:val="0"/>
      <w:jc w:val="both"/>
    </w:pPr>
    <w:rPr>
      <w:rFonts w:ascii="Times New Roman" w:eastAsia="宋体" w:cs="Lucida Sans" w:hAnsi="Times New Roman"/>
      <w:kern w:val="2"/>
      <w:sz w:val="21"/>
      <w:szCs w:val="21"/>
      <w:lang w:val="en-US" w:eastAsia="zh-CN" w:bidi="ar-SA"/>
    </w:rPr>
  </w:style>
  <w:style w:type="paragraph" w:customStyle="1" w:styleId="31">
    <w:name w:val="样式 3 10 磅"/>
    <w:pPr>
      <w:widowControl w:val="0"/>
      <w:jc w:val="both"/>
    </w:pPr>
    <w:rPr>
      <w:rFonts w:ascii="Times New Roman" w:eastAsia="宋体" w:cs="Lucida Sans" w:hAnsi="Times New Roman"/>
      <w:kern w:val="2"/>
      <w:sz w:val="21"/>
      <w:szCs w:val="21"/>
      <w:lang w:val="en-US" w:eastAsia="zh-CN" w:bidi="ar-SA"/>
    </w:rPr>
  </w:style>
  <w:style w:type="paragraph" w:customStyle="1" w:styleId="32">
    <w:name w:val="样式 4 10 磅"/>
    <w:pPr>
      <w:widowControl w:val="0"/>
      <w:jc w:val="both"/>
    </w:pPr>
    <w:rPr>
      <w:rFonts w:ascii="Times New Roman" w:eastAsia="宋体" w:cs="Lucida Sans" w:hAnsi="Times New Roman"/>
      <w:kern w:val="2"/>
      <w:sz w:val="21"/>
      <w:szCs w:val="21"/>
      <w:lang w:val="en-US" w:eastAsia="zh-CN" w:bidi="ar-SA"/>
    </w:rPr>
  </w:style>
  <w:style w:type="paragraph" w:customStyle="1" w:styleId="33">
    <w:name w:val="样式 5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
    <w:name w:val="样式 6 10 磅"/>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5">
    <w:name w:val="样式 7 10 磅"/>
    <w:next w:val="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6">
    <w:name w:val="样式 8 10 磅"/>
    <w:next w:val="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7">
    <w:name w:val="样式 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8">
    <w:name w:val="样式 9 10 磅"/>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9">
    <w:name w:val="样式 2 三号"/>
    <w:next w:val="51"/>
    <w:pPr>
      <w:widowControl w:val="0"/>
      <w:jc w:val="both"/>
    </w:pPr>
    <w:rPr>
      <w:rFonts w:ascii="Times New Roman" w:eastAsia="方正仿宋_GBK" w:cs="Times New Roman" w:hAnsi="Times New Roman"/>
      <w:kern w:val="2"/>
      <w:sz w:val="32"/>
      <w:szCs w:val="20"/>
      <w:lang w:val="en-US" w:eastAsia="zh-CN" w:bidi="ar-SA"/>
    </w:rPr>
  </w:style>
  <w:style w:type="paragraph" w:customStyle="1" w:styleId="40">
    <w:name w:val="样式 3 三号"/>
    <w:next w:val="57"/>
    <w:pPr>
      <w:widowControl w:val="0"/>
      <w:jc w:val="both"/>
    </w:pPr>
    <w:rPr>
      <w:rFonts w:ascii="Times New Roman" w:eastAsia="方正仿宋_GBK" w:cs="Times New Roman" w:hAnsi="Times New Roman"/>
      <w:kern w:val="2"/>
      <w:sz w:val="32"/>
      <w:szCs w:val="20"/>
      <w:lang w:val="en-US" w:eastAsia="zh-CN" w:bidi="ar-SA"/>
    </w:rPr>
  </w:style>
  <w:style w:type="paragraph" w:customStyle="1" w:styleId="41">
    <w:name w:val="样式 4 三号"/>
    <w:next w:val="19"/>
    <w:pPr>
      <w:widowControl w:val="0"/>
      <w:jc w:val="both"/>
    </w:pPr>
    <w:rPr>
      <w:rFonts w:ascii="Times New Roman" w:eastAsia="方正仿宋_GBK" w:cs="Times New Roman" w:hAnsi="Times New Roman"/>
      <w:kern w:val="2"/>
      <w:sz w:val="32"/>
      <w:szCs w:val="20"/>
      <w:lang w:val="en-US" w:eastAsia="zh-CN" w:bidi="ar-SA"/>
    </w:rPr>
  </w:style>
  <w:style w:type="paragraph" w:customStyle="1" w:styleId="42">
    <w:name w:val="样式 5 三号"/>
    <w:next w:val="6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3">
    <w:name w:val="样式 15 三号"/>
    <w:next w:val="18"/>
    <w:pPr>
      <w:widowControl w:val="0"/>
      <w:jc w:val="both"/>
    </w:pPr>
    <w:rPr>
      <w:rFonts w:ascii="Times New Roman" w:eastAsia="方正仿宋_GBK" w:cs="Times New Roman" w:hAnsi="Times New Roman"/>
      <w:kern w:val="2"/>
      <w:sz w:val="32"/>
      <w:szCs w:val="20"/>
      <w:lang w:val="en-US" w:eastAsia="zh-CN" w:bidi="ar-SA"/>
    </w:rPr>
  </w:style>
  <w:style w:type="paragraph" w:customStyle="1" w:styleId="44">
    <w:name w:val="样式 6 三号"/>
    <w:next w:val="6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5">
    <w:name w:val="样式 7 三号"/>
    <w:next w:val="6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6">
    <w:name w:val="样式 10 10 磅"/>
    <w:next w:val="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47">
    <w:name w:val="样式 8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48">
    <w:name w:val="样式 9 三号"/>
    <w:next w:val="2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9">
    <w:name w:val="样式 10 三号"/>
    <w:next w:val="38"/>
    <w:pPr>
      <w:widowControl w:val="0"/>
      <w:jc w:val="both"/>
    </w:pPr>
    <w:rPr>
      <w:rFonts w:ascii="Times New Roman" w:eastAsia="方正仿宋_GBK" w:cs="Times New Roman" w:hAnsi="Times New Roman"/>
      <w:kern w:val="2"/>
      <w:sz w:val="32"/>
      <w:szCs w:val="20"/>
      <w:lang w:val="en-US" w:eastAsia="zh-CN" w:bidi="ar-SA"/>
    </w:rPr>
  </w:style>
  <w:style w:type="paragraph" w:customStyle="1" w:styleId="50">
    <w:name w:val="样式 1 小四"/>
    <w:next w:val="16"/>
    <w:pPr>
      <w:widowControl w:val="0"/>
    </w:pPr>
    <w:rPr>
      <w:rFonts w:ascii="宋体" w:eastAsia="宋体" w:cs="Times New Roman"/>
      <w:kern w:val="2"/>
      <w:sz w:val="24"/>
      <w:szCs w:val="21"/>
      <w:lang w:val="en-US" w:eastAsia="zh-CN" w:bidi="ar-SA"/>
    </w:rPr>
  </w:style>
  <w:style w:type="paragraph" w:customStyle="1" w:styleId="51">
    <w:name w:val="样式 2 小四"/>
    <w:pPr>
      <w:widowControl w:val="0"/>
      <w:spacing w:line="240" w:lineRule="auto"/>
      <w:jc w:val="left"/>
    </w:pPr>
    <w:rPr>
      <w:rFonts w:ascii="宋体" w:eastAsia="宋体" w:cs="Times New Roman"/>
      <w:kern w:val="2"/>
      <w:sz w:val="24"/>
      <w:szCs w:val="21"/>
      <w:lang w:val="en-US" w:eastAsia="zh-CN" w:bidi="ar-SA"/>
    </w:rPr>
  </w:style>
  <w:style w:type="paragraph" w:customStyle="1" w:styleId="52">
    <w:name w:val="样式 3 小四"/>
    <w:pPr>
      <w:widowControl w:val="0"/>
      <w:spacing w:line="240" w:lineRule="auto"/>
      <w:jc w:val="left"/>
    </w:pPr>
    <w:rPr>
      <w:rFonts w:ascii="宋体" w:eastAsia="宋体" w:cs="Times New Roman"/>
      <w:kern w:val="2"/>
      <w:sz w:val="24"/>
      <w:szCs w:val="21"/>
      <w:lang w:val="en-US" w:eastAsia="zh-CN" w:bidi="ar-SA"/>
    </w:rPr>
  </w:style>
  <w:style w:type="paragraph" w:customStyle="1" w:styleId="53">
    <w:name w:val="样式 38 三号"/>
    <w:next w:val="15"/>
    <w:pPr>
      <w:widowControl w:val="0"/>
      <w:jc w:val="both"/>
    </w:pPr>
    <w:rPr>
      <w:rFonts w:ascii="Times New Roman" w:eastAsia="方正仿宋_GBK" w:cs="Times New Roman" w:hAnsi="Times New Roman"/>
      <w:kern w:val="2"/>
      <w:sz w:val="32"/>
      <w:szCs w:val="20"/>
      <w:lang w:val="en-US" w:eastAsia="zh-CN" w:bidi="ar-SA"/>
    </w:rPr>
  </w:style>
  <w:style w:type="paragraph" w:customStyle="1" w:styleId="54">
    <w:name w:val="样式 4 小四"/>
    <w:pPr>
      <w:widowControl w:val="0"/>
      <w:spacing w:line="240" w:lineRule="auto"/>
      <w:jc w:val="left"/>
    </w:pPr>
    <w:rPr>
      <w:rFonts w:ascii="宋体" w:eastAsia="宋体" w:cs="Times New Roman"/>
      <w:kern w:val="2"/>
      <w:sz w:val="24"/>
      <w:szCs w:val="21"/>
      <w:lang w:val="en-US" w:eastAsia="zh-CN" w:bidi="ar-SA"/>
    </w:rPr>
  </w:style>
  <w:style w:type="paragraph" w:customStyle="1" w:styleId="55">
    <w:name w:val="样式 11 三号"/>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6">
    <w:name w:val="样式 12 三号"/>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7">
    <w:name w:val="样式 13 三号"/>
    <w:next w:val="8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8">
    <w:name w:val="样式 14 三号"/>
    <w:next w:val="45"/>
    <w:pPr>
      <w:widowControl w:val="0"/>
      <w:jc w:val="both"/>
    </w:pPr>
    <w:rPr>
      <w:rFonts w:ascii="Times New Roman" w:eastAsia="方正仿宋_GBK" w:cs="Times New Roman" w:hAnsi="Times New Roman"/>
      <w:kern w:val="2"/>
      <w:sz w:val="32"/>
      <w:szCs w:val="20"/>
      <w:lang w:val="en-US" w:eastAsia="zh-CN" w:bidi="ar-SA"/>
    </w:rPr>
  </w:style>
  <w:style w:type="paragraph" w:customStyle="1" w:styleId="59">
    <w:name w:val="样式 16 三号"/>
    <w:next w:val="9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0">
    <w:name w:val="样式 5 小四"/>
    <w:pPr>
      <w:widowControl w:val="0"/>
      <w:spacing w:line="240" w:lineRule="auto"/>
      <w:jc w:val="left"/>
    </w:pPr>
    <w:rPr>
      <w:rFonts w:ascii="宋体" w:eastAsia="宋体" w:cs="Times New Roman"/>
      <w:kern w:val="2"/>
      <w:sz w:val="24"/>
      <w:szCs w:val="21"/>
      <w:lang w:val="en-US" w:eastAsia="zh-CN" w:bidi="ar-SA"/>
    </w:rPr>
  </w:style>
  <w:style w:type="paragraph" w:customStyle="1" w:styleId="61">
    <w:name w:val="样式 17 三号"/>
    <w:next w:val="10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2">
    <w:name w:val="样式 18 三号"/>
    <w:next w:val="10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3">
    <w:name w:val="样式 19 三号"/>
    <w:next w:val="27"/>
    <w:pPr>
      <w:widowControl w:val="0"/>
      <w:jc w:val="both"/>
    </w:pPr>
    <w:rPr>
      <w:rFonts w:ascii="Times New Roman" w:eastAsia="方正仿宋_GBK" w:cs="Times New Roman" w:hAnsi="Times New Roman"/>
      <w:kern w:val="2"/>
      <w:sz w:val="32"/>
      <w:szCs w:val="20"/>
      <w:lang w:val="en-US" w:eastAsia="zh-CN" w:bidi="ar-SA"/>
    </w:rPr>
  </w:style>
  <w:style w:type="paragraph" w:customStyle="1" w:styleId="64">
    <w:name w:val="样式 22 三号"/>
    <w:next w:val="29"/>
    <w:pPr>
      <w:widowControl w:val="0"/>
      <w:jc w:val="both"/>
    </w:pPr>
    <w:rPr>
      <w:rFonts w:ascii="Times New Roman" w:eastAsia="方正仿宋_GBK" w:cs="Times New Roman" w:hAnsi="Times New Roman"/>
      <w:kern w:val="2"/>
      <w:sz w:val="32"/>
      <w:szCs w:val="20"/>
      <w:lang w:val="en-US" w:eastAsia="zh-CN" w:bidi="ar-SA"/>
    </w:rPr>
  </w:style>
  <w:style w:type="paragraph" w:customStyle="1" w:styleId="65">
    <w:name w:val="样式 20 三号"/>
    <w:next w:val="28"/>
    <w:pPr>
      <w:widowControl w:val="0"/>
      <w:jc w:val="both"/>
    </w:pPr>
    <w:rPr>
      <w:rFonts w:ascii="Times New Roman" w:eastAsia="方正仿宋_GBK" w:cs="Times New Roman" w:hAnsi="Times New Roman"/>
      <w:kern w:val="2"/>
      <w:sz w:val="32"/>
      <w:szCs w:val="20"/>
      <w:lang w:val="en-US" w:eastAsia="zh-CN" w:bidi="ar-SA"/>
    </w:rPr>
  </w:style>
  <w:style w:type="paragraph" w:customStyle="1" w:styleId="66">
    <w:name w:val="样式 21 三号"/>
    <w:next w:val="11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7">
    <w:name w:val="样式 25 三号"/>
    <w:next w:val="124"/>
    <w:pPr>
      <w:widowControl w:val="0"/>
      <w:jc w:val="both"/>
    </w:pPr>
    <w:rPr>
      <w:rFonts w:ascii="Times New Roman" w:eastAsia="方正仿宋_GBK" w:cs="Times New Roman" w:hAnsi="Times New Roman"/>
      <w:kern w:val="2"/>
      <w:sz w:val="32"/>
      <w:szCs w:val="20"/>
      <w:lang w:val="en-US" w:eastAsia="zh-CN" w:bidi="ar-SA"/>
    </w:rPr>
  </w:style>
  <w:style w:type="paragraph" w:customStyle="1" w:styleId="68">
    <w:name w:val="样式 6 小四"/>
    <w:next w:val="23"/>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0"/>
      <w:position w:val="0"/>
      <w:sz w:val="24"/>
      <w:szCs w:val="24"/>
      <w:u w:val="none" w:color="auto"/>
      <w:shd w:val="clear" w:color="auto" w:fill="auto"/>
      <w:vertAlign w:val="baseline"/>
      <w:em w:val="none"/>
      <w:lang w:val="en-US" w:eastAsia="zh-CN" w:bidi="ar-SA"/>
    </w:rPr>
  </w:style>
  <w:style w:type="paragraph" w:customStyle="1" w:styleId="69">
    <w:name w:val="样式 7 小四"/>
    <w:pPr>
      <w:widowControl w:val="0"/>
      <w:spacing w:line="240" w:lineRule="auto"/>
      <w:jc w:val="left"/>
    </w:pPr>
    <w:rPr>
      <w:rFonts w:ascii="宋体" w:eastAsia="宋体" w:cs="Times New Roman"/>
      <w:kern w:val="2"/>
      <w:sz w:val="24"/>
      <w:szCs w:val="21"/>
      <w:lang w:val="en-US" w:eastAsia="zh-CN" w:bidi="ar-SA"/>
    </w:rPr>
  </w:style>
  <w:style w:type="paragraph" w:customStyle="1" w:styleId="70">
    <w:name w:val="样式 8 小四"/>
    <w:pPr>
      <w:widowControl w:val="0"/>
      <w:spacing w:line="240" w:lineRule="auto"/>
      <w:jc w:val="left"/>
    </w:pPr>
    <w:rPr>
      <w:rFonts w:ascii="宋体" w:eastAsia="宋体" w:cs="Times New Roman"/>
      <w:kern w:val="2"/>
      <w:sz w:val="24"/>
      <w:szCs w:val="21"/>
      <w:lang w:val="en-US" w:eastAsia="zh-CN" w:bidi="ar-SA"/>
    </w:rPr>
  </w:style>
  <w:style w:type="paragraph" w:customStyle="1" w:styleId="71">
    <w:name w:val="样式 26 三号"/>
    <w:next w:val="1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2">
    <w:name w:val="样式 27 三号"/>
    <w:next w:val="1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3">
    <w:name w:val="样式 9 小四"/>
    <w:pPr>
      <w:widowControl w:val="0"/>
      <w:spacing w:line="240" w:lineRule="auto"/>
      <w:jc w:val="left"/>
    </w:pPr>
    <w:rPr>
      <w:rFonts w:ascii="宋体" w:eastAsia="宋体" w:cs="Times New Roman"/>
      <w:kern w:val="2"/>
      <w:sz w:val="24"/>
      <w:szCs w:val="21"/>
      <w:lang w:val="en-US" w:eastAsia="zh-CN" w:bidi="ar-SA"/>
    </w:rPr>
  </w:style>
  <w:style w:type="paragraph" w:customStyle="1" w:styleId="74">
    <w:name w:val="样式 10 小四"/>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eastAsia="宋体" w:cs="Times New Roman"/>
      <w:b w:val="0"/>
      <w:i w:val="0"/>
      <w:caps w:val="0"/>
      <w:smallCaps w:val="0"/>
      <w:strike w:val="0"/>
      <w:dstrike w:val="0"/>
      <w:snapToGrid/>
      <w:vanish w:val="0"/>
      <w:color w:val="auto"/>
      <w:spacing w:val="0"/>
      <w:w w:val="100"/>
      <w:kern w:val="2"/>
      <w:position w:val="0"/>
      <w:sz w:val="24"/>
      <w:szCs w:val="21"/>
      <w:u w:val="none" w:color="auto"/>
      <w:shd w:val="clear" w:color="auto" w:fill="auto"/>
      <w:vertAlign w:val="baseline"/>
      <w:em w:val="none"/>
      <w:lang w:val="en-US" w:eastAsia="zh-CN" w:bidi="ar-SA"/>
    </w:rPr>
  </w:style>
  <w:style w:type="paragraph" w:customStyle="1" w:styleId="75">
    <w:name w:val="样式 28 三号"/>
    <w:next w:val="20"/>
    <w:pPr>
      <w:widowControl w:val="0"/>
      <w:jc w:val="both"/>
    </w:pPr>
    <w:rPr>
      <w:rFonts w:ascii="Times New Roman" w:eastAsia="方正仿宋_GBK" w:cs="Times New Roman" w:hAnsi="Times New Roman"/>
      <w:kern w:val="2"/>
      <w:sz w:val="32"/>
      <w:szCs w:val="20"/>
      <w:lang w:val="en-US" w:eastAsia="zh-CN" w:bidi="ar-SA"/>
    </w:rPr>
  </w:style>
  <w:style w:type="paragraph" w:customStyle="1" w:styleId="76">
    <w:name w:val="样式 29 三号"/>
    <w:next w:val="1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7">
    <w:name w:val="样式 30 三号"/>
    <w:next w:val="1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78">
    <w:name w:val="样式 31 三号"/>
    <w:next w:val="13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9">
    <w:name w:val="样式 32 三号"/>
    <w:next w:val="16"/>
    <w:pPr>
      <w:widowControl w:val="0"/>
      <w:jc w:val="both"/>
    </w:pPr>
    <w:rPr>
      <w:rFonts w:ascii="Times New Roman" w:eastAsia="方正仿宋_GBK" w:cs="Times New Roman" w:hAnsi="Times New Roman"/>
      <w:kern w:val="2"/>
      <w:sz w:val="32"/>
      <w:szCs w:val="20"/>
      <w:lang w:val="en-US" w:eastAsia="zh-CN" w:bidi="ar-SA"/>
    </w:rPr>
  </w:style>
  <w:style w:type="paragraph" w:customStyle="1" w:styleId="80">
    <w:name w:val="样式 33 三号"/>
    <w:next w:val="13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1">
    <w:name w:val="样式 34 三号"/>
    <w:next w:val="13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82">
    <w:name w:val="样式 11 小四"/>
    <w:pPr>
      <w:widowControl w:val="0"/>
      <w:spacing w:line="240" w:lineRule="auto"/>
      <w:jc w:val="left"/>
    </w:pPr>
    <w:rPr>
      <w:rFonts w:ascii="宋体" w:eastAsia="宋体" w:cs="Times New Roman"/>
      <w:kern w:val="2"/>
      <w:sz w:val="24"/>
      <w:szCs w:val="21"/>
      <w:lang w:val="en-US" w:eastAsia="zh-CN" w:bidi="ar-SA"/>
    </w:rPr>
  </w:style>
  <w:style w:type="paragraph" w:customStyle="1" w:styleId="83">
    <w:name w:val="样式 35 三号"/>
    <w:next w:val="13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4">
    <w:name w:val="样式 12 小四"/>
    <w:pPr>
      <w:widowControl w:val="0"/>
      <w:spacing w:line="240" w:lineRule="auto"/>
      <w:jc w:val="left"/>
    </w:pPr>
    <w:rPr>
      <w:rFonts w:ascii="宋体" w:eastAsia="宋体" w:cs="Times New Roman"/>
      <w:kern w:val="2"/>
      <w:sz w:val="24"/>
      <w:szCs w:val="21"/>
      <w:lang w:val="en-US" w:eastAsia="zh-CN" w:bidi="ar-SA"/>
    </w:rPr>
  </w:style>
  <w:style w:type="paragraph" w:customStyle="1" w:styleId="85">
    <w:name w:val="样式 3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6">
    <w:name w:val="样式 3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7">
    <w:name w:val="样式 13 小四"/>
    <w:pPr>
      <w:widowControl w:val="0"/>
      <w:spacing w:line="240" w:lineRule="auto"/>
      <w:jc w:val="left"/>
    </w:pPr>
    <w:rPr>
      <w:rFonts w:ascii="宋体" w:eastAsia="宋体" w:cs="Times New Roman"/>
      <w:kern w:val="2"/>
      <w:sz w:val="24"/>
      <w:szCs w:val="21"/>
      <w:lang w:val="en-US" w:eastAsia="zh-CN" w:bidi="ar-SA"/>
    </w:rPr>
  </w:style>
  <w:style w:type="paragraph" w:customStyle="1" w:styleId="88">
    <w:name w:val="样式 39 三号"/>
    <w:next w:val="17"/>
    <w:pPr>
      <w:widowControl w:val="0"/>
      <w:jc w:val="both"/>
    </w:pPr>
    <w:rPr>
      <w:rFonts w:ascii="Times New Roman" w:eastAsia="方正仿宋_GBK" w:cs="Times New Roman" w:hAnsi="Times New Roman"/>
      <w:kern w:val="2"/>
      <w:sz w:val="32"/>
      <w:szCs w:val="20"/>
      <w:lang w:val="en-US" w:eastAsia="zh-CN" w:bidi="ar-SA"/>
    </w:rPr>
  </w:style>
  <w:style w:type="paragraph" w:customStyle="1" w:styleId="89">
    <w:name w:val="样式 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0">
    <w:name w:val="样式 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91">
    <w:name w:val="样式 4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2">
    <w:name w:val="样式 14 小四"/>
    <w:pPr>
      <w:widowControl w:val="0"/>
      <w:spacing w:line="240" w:lineRule="auto"/>
      <w:jc w:val="left"/>
    </w:pPr>
    <w:rPr>
      <w:rFonts w:ascii="宋体" w:eastAsia="宋体" w:cs="Times New Roman"/>
      <w:kern w:val="2"/>
      <w:sz w:val="24"/>
      <w:szCs w:val="21"/>
      <w:lang w:val="en-US" w:eastAsia="zh-CN" w:bidi="ar-SA"/>
    </w:rPr>
  </w:style>
  <w:style w:type="paragraph" w:customStyle="1" w:styleId="93">
    <w:name w:val="样式 11 10 磅"/>
    <w:next w:val="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94">
    <w:name w:val="样式 4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95">
    <w:name w:val="样式 13 10 磅"/>
    <w:next w:val="7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96">
    <w:name w:val="样式 15 小四"/>
    <w:pPr>
      <w:widowControl w:val="0"/>
      <w:spacing w:line="240" w:lineRule="auto"/>
      <w:jc w:val="left"/>
    </w:pPr>
    <w:rPr>
      <w:rFonts w:ascii="宋体" w:eastAsia="宋体" w:cs="Times New Roman"/>
      <w:kern w:val="2"/>
      <w:sz w:val="24"/>
      <w:szCs w:val="21"/>
      <w:lang w:val="en-US" w:eastAsia="zh-CN" w:bidi="ar-SA"/>
    </w:rPr>
  </w:style>
  <w:style w:type="paragraph" w:customStyle="1" w:styleId="97">
    <w:name w:val="样式 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8">
    <w:name w:val="样式 4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9">
    <w:name w:val="样式 16 小四"/>
    <w:pPr>
      <w:widowControl w:val="0"/>
      <w:spacing w:line="240" w:lineRule="auto"/>
      <w:jc w:val="left"/>
    </w:pPr>
    <w:rPr>
      <w:rFonts w:ascii="宋体" w:eastAsia="宋体" w:cs="Times New Roman"/>
      <w:kern w:val="2"/>
      <w:sz w:val="24"/>
      <w:szCs w:val="21"/>
      <w:lang w:val="en-US" w:eastAsia="zh-CN" w:bidi="ar-SA"/>
    </w:rPr>
  </w:style>
  <w:style w:type="paragraph" w:customStyle="1" w:styleId="100">
    <w:name w:val="样式 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Times New Roman"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101">
    <w:name w:val="样式 14 10 磅"/>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2">
    <w:name w:val="样式 47 三号"/>
    <w:next w:val="15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3">
    <w:name w:val="样式 15 10 磅"/>
    <w:next w:val="8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4">
    <w:name w:val="样式 16 10 磅"/>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5">
    <w:name w:val="样式 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6">
    <w:name w:val="样式 4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7">
    <w:name w:val="样式 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168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8">
    <w:name w:val="样式 51 三号"/>
    <w:next w:val="26"/>
    <w:pPr>
      <w:widowControl w:val="0"/>
      <w:jc w:val="both"/>
    </w:pPr>
    <w:rPr>
      <w:rFonts w:ascii="Times New Roman" w:eastAsia="方正仿宋_GBK" w:cs="Times New Roman" w:hAnsi="Times New Roman"/>
      <w:kern w:val="2"/>
      <w:sz w:val="32"/>
      <w:szCs w:val="20"/>
      <w:lang w:val="en-US" w:eastAsia="zh-CN" w:bidi="ar-SA"/>
    </w:rPr>
  </w:style>
  <w:style w:type="paragraph" w:customStyle="1" w:styleId="109">
    <w:name w:val="样式 78 10 磅"/>
    <w:pPr>
      <w:widowControl w:val="0"/>
      <w:jc w:val="both"/>
    </w:pPr>
    <w:rPr>
      <w:rFonts w:ascii="Times New Roman" w:eastAsia="宋体" w:cs="Times New Roman" w:hAnsi="Times New Roman"/>
      <w:kern w:val="2"/>
      <w:sz w:val="21"/>
      <w:szCs w:val="21"/>
      <w:lang w:val="en-US" w:eastAsia="zh-CN" w:bidi="ar-SA"/>
    </w:rPr>
  </w:style>
  <w:style w:type="paragraph" w:customStyle="1" w:styleId="110">
    <w:name w:val="样式 77 10 磅"/>
    <w:pPr>
      <w:widowControl w:val="0"/>
      <w:jc w:val="both"/>
    </w:pPr>
    <w:rPr>
      <w:rFonts w:ascii="Times New Roman" w:eastAsia="宋体" w:cs="Times New Roman" w:hAnsi="Times New Roman"/>
      <w:kern w:val="2"/>
      <w:sz w:val="21"/>
      <w:szCs w:val="20"/>
      <w:lang w:val="en-US" w:eastAsia="zh-CN" w:bidi="ar-SA"/>
    </w:rPr>
  </w:style>
  <w:style w:type="paragraph" w:customStyle="1" w:styleId="111">
    <w:name w:val="样式 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2">
    <w:name w:val="样式 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3">
    <w:name w:val="样式 5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4">
    <w:name w:val="样式 5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5">
    <w:name w:val="样式 56 三号"/>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6">
    <w:name w:val="样式 57 三号"/>
    <w:next w:val="23"/>
    <w:pPr>
      <w:widowControl w:val="0"/>
      <w:jc w:val="both"/>
    </w:pPr>
    <w:rPr>
      <w:rFonts w:ascii="Times New Roman" w:eastAsia="方正仿宋_GBK" w:cs="Times New Roman" w:hAnsi="Times New Roman"/>
      <w:kern w:val="2"/>
      <w:sz w:val="32"/>
      <w:szCs w:val="20"/>
      <w:lang w:val="en-US" w:eastAsia="zh-CN" w:bidi="ar-SA"/>
    </w:rPr>
  </w:style>
  <w:style w:type="paragraph" w:customStyle="1" w:styleId="117">
    <w:name w:val="样式 5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8">
    <w:name w:val="样式 5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9">
    <w:name w:val="样式 6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20">
    <w:name w:val="样式 61 三号"/>
    <w:next w:val="24"/>
    <w:pPr>
      <w:widowControl w:val="0"/>
      <w:jc w:val="both"/>
    </w:pPr>
    <w:rPr>
      <w:rFonts w:ascii="Times New Roman" w:eastAsia="方正仿宋_GBK" w:cs="Times New Roman" w:hAnsi="Times New Roman"/>
      <w:kern w:val="2"/>
      <w:sz w:val="32"/>
      <w:szCs w:val="20"/>
      <w:lang w:val="en-US" w:eastAsia="zh-CN" w:bidi="ar-SA"/>
    </w:rPr>
  </w:style>
  <w:style w:type="paragraph" w:customStyle="1" w:styleId="121">
    <w:name w:val="样式 62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2">
    <w:name w:val="样式 6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3">
    <w:name w:val="样式 6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4">
    <w:name w:val="样式 65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5">
    <w:name w:val="样式 66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6">
    <w:name w:val="样式 6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7">
    <w:name w:val="样式 6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8">
    <w:name w:val="样式 69 三号"/>
    <w:next w:val="21"/>
    <w:pPr>
      <w:widowControl w:val="0"/>
      <w:jc w:val="both"/>
    </w:pPr>
    <w:rPr>
      <w:rFonts w:ascii="Times New Roman" w:eastAsia="方正仿宋_GBK" w:cs="Times New Roman" w:hAnsi="Times New Roman"/>
      <w:kern w:val="2"/>
      <w:sz w:val="32"/>
      <w:szCs w:val="20"/>
      <w:lang w:val="en-US" w:eastAsia="zh-CN" w:bidi="ar-SA"/>
    </w:rPr>
  </w:style>
  <w:style w:type="paragraph" w:customStyle="1" w:styleId="129">
    <w:name w:val="样式 70 三号"/>
    <w:next w:val="22"/>
    <w:pPr>
      <w:widowControl w:val="0"/>
      <w:jc w:val="both"/>
    </w:pPr>
    <w:rPr>
      <w:rFonts w:ascii="Times New Roman" w:eastAsia="方正仿宋_GBK" w:cs="Times New Roman" w:hAnsi="Times New Roman"/>
      <w:kern w:val="2"/>
      <w:sz w:val="32"/>
      <w:szCs w:val="20"/>
      <w:lang w:val="en-US" w:eastAsia="zh-CN" w:bidi="ar-SA"/>
    </w:rPr>
  </w:style>
  <w:style w:type="paragraph" w:customStyle="1" w:styleId="130">
    <w:name w:val="样式 7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31">
    <w:name w:val="样式 7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32">
    <w:name w:val="样式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3">
    <w:name w:val="样式 "/>
    <w:rPr>
      <w:rFonts w:ascii="Times New Roman" w:eastAsia="宋体" w:cs="Times New Roman" w:hAnsi="Times New Roman"/>
      <w:sz w:val="20"/>
      <w:szCs w:val="20"/>
      <w:lang w:val="en-US" w:eastAsia="zh-CN" w:bidi="ar-SA"/>
    </w:rPr>
  </w:style>
  <w:style w:type="paragraph" w:customStyle="1" w:styleId="134">
    <w:name w:val="样式 1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5">
    <w:name w:val="样式 1 "/>
    <w:rPr>
      <w:rFonts w:ascii="Times New Roman" w:eastAsia="宋体" w:cs="Times New Roman" w:hAnsi="Times New Roman"/>
      <w:sz w:val="20"/>
      <w:szCs w:val="20"/>
      <w:lang w:val="en-US" w:eastAsia="zh-CN" w:bidi="ar-SA"/>
    </w:rPr>
  </w:style>
  <w:style w:type="paragraph" w:customStyle="1" w:styleId="136">
    <w:name w:val="样式 2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7">
    <w:name w:val="样式 2 "/>
    <w:rPr>
      <w:rFonts w:ascii="Times New Roman" w:eastAsia="宋体" w:cs="Times New Roman" w:hAnsi="Times New Roman"/>
      <w:sz w:val="20"/>
      <w:szCs w:val="20"/>
      <w:lang w:val="en-US" w:eastAsia="zh-CN" w:bidi="ar-SA"/>
    </w:rPr>
  </w:style>
  <w:style w:type="paragraph" w:styleId="138">
    <w:name w:val="index 6"/>
    <w:autoRedefine/>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39">
    <w:name w:val="index 8"/>
    <w:basedOn w:val="0"/>
    <w:autoRedefine/>
    <w:next w:val="0"/>
    <w:pPr>
      <w:ind w:left="2940"/>
    </w:pPr>
  </w:style>
  <w:style w:type="paragraph" w:styleId="140">
    <w:name w:val="index 9"/>
    <w:basedOn w:val="0"/>
    <w:autoRedefine/>
    <w:next w:val="0"/>
    <w:pPr>
      <w:ind w:left="3360"/>
    </w:pPr>
  </w:style>
  <w:style w:type="paragraph" w:styleId="141">
    <w:name w:val="toc 3"/>
    <w:basedOn w:val="0"/>
    <w:autoRedefine/>
    <w:next w:val="0"/>
    <w:pPr>
      <w:ind w:left="840"/>
    </w:pPr>
  </w:style>
  <w:style w:type="paragraph" w:styleId="142">
    <w:name w:val="toc 4"/>
    <w:basedOn w:val="0"/>
    <w:autoRedefine/>
    <w:next w:val="0"/>
    <w:pPr>
      <w:ind w:left="1260"/>
    </w:pPr>
  </w:style>
  <w:style w:type="paragraph" w:styleId="143">
    <w:name w:val="toc 5"/>
    <w:basedOn w:val="0"/>
    <w:autoRedefine/>
    <w:next w:val="0"/>
    <w:pPr>
      <w:ind w:left="1680"/>
    </w:pPr>
  </w:style>
  <w:style w:type="paragraph" w:styleId="144">
    <w:name w:val="toc 6"/>
    <w:basedOn w:val="0"/>
    <w:autoRedefine/>
    <w:next w:val="0"/>
    <w:pPr>
      <w:ind w:left="2100"/>
    </w:pPr>
  </w:style>
  <w:style w:type="paragraph" w:styleId="145">
    <w:name w:val="toc 7"/>
    <w:basedOn w:val="0"/>
    <w:autoRedefine/>
    <w:next w:val="0"/>
    <w:pPr>
      <w:ind w:left="2520"/>
    </w:pPr>
  </w:style>
  <w:style w:type="paragraph" w:styleId="146">
    <w:name w:val="toc 9"/>
    <w:basedOn w:val="0"/>
    <w:autoRedefine/>
    <w:next w:val="0"/>
    <w:pPr>
      <w:ind w:left="3360"/>
    </w:pPr>
  </w:style>
  <w:style w:type="paragraph" w:styleId="147">
    <w:name w:val="footnote text"/>
    <w:basedOn w:val="0"/>
    <w:pPr>
      <w:snapToGrid w:val="0"/>
      <w:jc w:val="left"/>
    </w:pPr>
    <w:rPr>
      <w:sz w:val="18"/>
      <w:szCs w:val="18"/>
    </w:rPr>
  </w:style>
  <w:style w:type="paragraph" w:styleId="148">
    <w:name w:val="annotation text"/>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styleId="149">
    <w:name w:val="table of figures"/>
    <w:basedOn w:val="0"/>
    <w:next w:val="0"/>
  </w:style>
  <w:style w:type="paragraph" w:styleId="150">
    <w:name w:val="envelope return"/>
    <w:basedOn w:val="0"/>
    <w:pPr>
      <w:snapToGrid w:val="0"/>
    </w:pPr>
    <w:rPr>
      <w:rFonts w:ascii="Times New Roman" w:hAnsi="Times New Roman"/>
    </w:rPr>
  </w:style>
  <w:style w:type="character" w:styleId="151">
    <w:name w:val="line number"/>
    <w:basedOn w:val="10"/>
  </w:style>
  <w:style w:type="character" w:styleId="152">
    <w:name w:val="page number"/>
    <w:basedOn w:val="10"/>
  </w:style>
  <w:style w:type="paragraph" w:styleId="153">
    <w:name w:val="endnote text"/>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left"/>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54">
    <w:name w:val="table of authorities"/>
    <w:basedOn w:val="0"/>
    <w:next w:val="0"/>
    <w:pPr>
      <w:ind w:left="420"/>
    </w:pPr>
  </w:style>
  <w:style w:type="paragraph" w:styleId="155">
    <w:name w:val="toa heading"/>
    <w:basedOn w:val="0"/>
    <w:next w:val="0"/>
    <w:pPr>
      <w:spacing w:before="120"/>
    </w:pPr>
    <w:rPr>
      <w:rFonts w:ascii="Times New Roman" w:hAnsi="Times New Roman"/>
      <w:sz w:val="24"/>
      <w:szCs w:val="24"/>
    </w:rPr>
  </w:style>
  <w:style w:type="paragraph" w:styleId="156">
    <w:name w:val="List Number"/>
    <w:basedOn w:val="0"/>
    <w:pPr>
      <w:numPr>
        <w:ilvl w:val="0"/>
        <w:numId w:val="1"/>
      </w:numPr>
    </w:pPr>
  </w:style>
  <w:style w:type="paragraph" w:styleId="157">
    <w:name w:val="List 2"/>
    <w:basedOn w:val="0"/>
    <w:pPr>
      <w:ind w:left="840" w:hanging="420"/>
    </w:pPr>
  </w:style>
  <w:style w:type="paragraph" w:styleId="158">
    <w:name w:val="List 3"/>
    <w:basedOn w:val="0"/>
    <w:pPr>
      <w:ind w:left="1260" w:hanging="420"/>
    </w:pPr>
  </w:style>
  <w:style w:type="paragraph" w:styleId="159">
    <w:name w:val="List Bullet 2"/>
    <w:basedOn w:val="0"/>
    <w:pPr>
      <w:numPr>
        <w:ilvl w:val="0"/>
        <w:numId w:val="2"/>
      </w:numPr>
    </w:pPr>
  </w:style>
  <w:style w:type="paragraph" w:styleId="160">
    <w:name w:val="List Bullet 3"/>
    <w:basedOn w:val="0"/>
    <w:pPr>
      <w:numPr>
        <w:ilvl w:val="0"/>
        <w:numId w:val="3"/>
      </w:numPr>
    </w:pPr>
  </w:style>
  <w:style w:type="paragraph" w:styleId="161">
    <w:name w:val="List Bullet 4"/>
    <w:basedOn w:val="0"/>
    <w:pPr>
      <w:numPr>
        <w:ilvl w:val="0"/>
        <w:numId w:val="4"/>
      </w:numPr>
    </w:pPr>
  </w:style>
  <w:style w:type="paragraph" w:styleId="162">
    <w:name w:val="List Bullet 5"/>
    <w:basedOn w:val="0"/>
    <w:pPr>
      <w:numPr>
        <w:ilvl w:val="0"/>
        <w:numId w:val="5"/>
      </w:numPr>
    </w:pPr>
  </w:style>
  <w:style w:type="paragraph" w:styleId="163">
    <w:name w:val="List Number 3"/>
    <w:basedOn w:val="0"/>
    <w:pPr>
      <w:numPr>
        <w:ilvl w:val="0"/>
        <w:numId w:val="6"/>
      </w:numPr>
    </w:pPr>
  </w:style>
  <w:style w:type="paragraph" w:styleId="164">
    <w:name w:val="List Number 4"/>
    <w:basedOn w:val="0"/>
    <w:pPr>
      <w:numPr>
        <w:ilvl w:val="0"/>
        <w:numId w:val="7"/>
      </w:numPr>
    </w:pPr>
  </w:style>
  <w:style w:type="paragraph" w:styleId="165">
    <w:name w:val="Signature"/>
    <w:basedOn w:val="0"/>
    <w:pPr>
      <w:ind w:left="4320"/>
    </w:pPr>
  </w:style>
  <w:style w:type="paragraph" w:styleId="166">
    <w:name w:val="Body Text"/>
    <w:basedOn w:val="0"/>
    <w:pPr>
      <w:spacing w:after="120"/>
    </w:pPr>
  </w:style>
  <w:style w:type="character" w:styleId="167">
    <w:name w:val="Hyperlink"/>
    <w:rPr>
      <w:color w:val="0000FF"/>
      <w:u w:val="single"/>
    </w:rPr>
  </w:style>
  <w:style w:type="paragraph" w:styleId="168">
    <w:name w:val="Plain Text"/>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styleId="169">
    <w:name w:val="HTML Address"/>
    <w:basedOn w:val="0"/>
    <w:rPr>
      <w:i/>
    </w:rPr>
  </w:style>
  <w:style w:type="paragraph" w:customStyle="1" w:styleId="170">
    <w:name w:val="样式 73 三号"/>
    <w:pPr>
      <w:widowControl w:val="0"/>
      <w:jc w:val="both"/>
    </w:pPr>
    <w:rPr>
      <w:rFonts w:ascii="方正仿宋_GBK" w:eastAsia="方正仿宋_GBK" w:cs="方正仿宋_GBK"/>
      <w:kern w:val="2"/>
      <w:sz w:val="32"/>
      <w:szCs w:val="32"/>
      <w:lang w:val="en-US" w:eastAsia="zh-CN" w:bidi="ar-SA"/>
    </w:rPr>
  </w:style>
  <w:style w:type="paragraph" w:customStyle="1" w:styleId="171">
    <w:name w:val="样式 7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2">
    <w:name w:val="样式 3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73">
    <w:name w:val="样式 10 磅2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character" w:customStyle="1" w:styleId="174">
    <w:name w:val=" Char Char1"/>
    <w:rPr>
      <w:rFonts w:ascii="宋体" w:eastAsia="宋体"/>
      <w:b/>
      <w:bCs/>
      <w:kern w:val="44"/>
      <w:sz w:val="44"/>
      <w:szCs w:val="44"/>
      <w:lang w:val="en-US" w:eastAsia="zh-CN"/>
    </w:rPr>
  </w:style>
  <w:style w:type="paragraph" w:customStyle="1" w:styleId="175">
    <w:name w:val="样式 3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76">
    <w:name w:val="样式 1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7">
    <w:name w:val="样式 10 磅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78">
    <w:name w:val="样式 三号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79">
    <w:name w:val="样式 1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0">
    <w:name w:val="样式 10 磅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1">
    <w:name w:val="样式 1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2">
    <w:name w:val="样式 二号"/>
    <w:rPr>
      <w:rFonts w:ascii="宋体" w:eastAsia="宋体" w:cs="Times New Roman"/>
      <w:b/>
      <w:bCs/>
      <w:kern w:val="44"/>
      <w:sz w:val="44"/>
      <w:szCs w:val="44"/>
      <w:lang w:val="en-US" w:eastAsia="zh-CN" w:bidi="ar-SA"/>
    </w:rPr>
  </w:style>
  <w:style w:type="paragraph" w:customStyle="1" w:styleId="183">
    <w:name w:val="样式 10 磅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4">
    <w:name w:val="样式 7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85">
    <w:name w:val="样式 2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6">
    <w:name w:val="样式 4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87">
    <w:name w:val="样式 2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88">
    <w:name w:val="样式 2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9">
    <w:name w:val="样式 7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90">
    <w:name w:val="样式 2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1">
    <w:name w:val="样式 2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92">
    <w:name w:val="样式 10 磅1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3">
    <w:name w:val="样式 5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94">
    <w:name w:val="样式 25 10 磅"/>
    <w:pPr>
      <w:widowControl w:val="0"/>
      <w:jc w:val="both"/>
    </w:pPr>
    <w:rPr>
      <w:rFonts w:ascii="Calibri" w:eastAsia="宋体" w:cs="Arial" w:hAnsi="Calibri"/>
      <w:kern w:val="2"/>
      <w:sz w:val="21"/>
      <w:szCs w:val="24"/>
      <w:lang w:val="en-US" w:eastAsia="zh-CN" w:bidi="ar-SA"/>
    </w:rPr>
  </w:style>
  <w:style w:type="paragraph" w:customStyle="1" w:styleId="195">
    <w:name w:val="样式 2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6">
    <w:name w:val="样式 2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7">
    <w:name w:val="样式 2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8">
    <w:name w:val="样式 2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9">
    <w:name w:val="样式 3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00">
    <w:name w:val="样式 7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01">
    <w:name w:val="样式 3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2">
    <w:name w:val="样式 7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03">
    <w:name w:val="样式 10 磅10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4">
    <w:name w:val="样式 3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5">
    <w:name w:val="样式 3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6">
    <w:name w:val="样式 3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7">
    <w:name w:val="样式 4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8">
    <w:name w:val="样式 4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9">
    <w:name w:val="样式 7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0">
    <w:name w:val="样式 7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1">
    <w:name w:val="样式 1 二号"/>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customStyle="1" w:styleId="212">
    <w:name w:val="样式 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13">
    <w:name w:val="样式 33 10 磅"/>
    <w:pPr>
      <w:widowControl w:val="0"/>
      <w:jc w:val="both"/>
    </w:pPr>
    <w:rPr>
      <w:rFonts w:ascii="等线" w:eastAsia="等线" w:cs="Arial"/>
      <w:kern w:val="2"/>
      <w:sz w:val="21"/>
      <w:szCs w:val="22"/>
      <w:lang w:val="en-US" w:eastAsia="zh-CN" w:bidi="ar-SA"/>
    </w:rPr>
  </w:style>
  <w:style w:type="paragraph" w:customStyle="1" w:styleId="214">
    <w:name w:val="样式 8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15">
    <w:name w:val="样式 42 10 磅"/>
    <w:pPr>
      <w:widowControl w:val="0"/>
      <w:jc w:val="both"/>
    </w:pPr>
    <w:rPr>
      <w:rFonts w:ascii="等线" w:eastAsia="等线" w:cs="Arial"/>
      <w:kern w:val="2"/>
      <w:sz w:val="21"/>
      <w:szCs w:val="22"/>
      <w:lang w:val="en-US" w:eastAsia="zh-CN" w:bidi="ar-SA"/>
    </w:rPr>
  </w:style>
  <w:style w:type="paragraph" w:customStyle="1" w:styleId="216">
    <w:name w:val="样式 6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17">
    <w:name w:val="样式 4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18">
    <w:name w:val="样式 8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9">
    <w:name w:val="样式 4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20">
    <w:name w:val="样式 8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21">
    <w:name w:val="样式 45 10 磅"/>
    <w:pPr>
      <w:widowControl w:val="0"/>
      <w:jc w:val="both"/>
    </w:pPr>
    <w:rPr>
      <w:rFonts w:ascii="等线" w:eastAsia="等线" w:cs="Arial"/>
      <w:kern w:val="2"/>
      <w:sz w:val="21"/>
      <w:szCs w:val="22"/>
      <w:lang w:val="en-US" w:eastAsia="zh-CN" w:bidi="ar-SA"/>
    </w:rPr>
  </w:style>
  <w:style w:type="paragraph" w:customStyle="1" w:styleId="222">
    <w:name w:val="样式 7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3">
    <w:name w:val="样式 46 10 磅"/>
    <w:pPr>
      <w:widowControl w:val="0"/>
      <w:jc w:val="both"/>
    </w:pPr>
    <w:rPr>
      <w:rFonts w:ascii="等线" w:eastAsia="等线" w:cs="Arial"/>
      <w:kern w:val="2"/>
      <w:sz w:val="21"/>
      <w:szCs w:val="22"/>
      <w:lang w:val="en-US" w:eastAsia="zh-CN" w:bidi="ar-SA"/>
    </w:rPr>
  </w:style>
  <w:style w:type="paragraph" w:customStyle="1" w:styleId="224">
    <w:name w:val="样式 8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5">
    <w:name w:val="样式 8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6">
    <w:name w:val="样式 48 10 磅"/>
    <w:pPr>
      <w:widowControl w:val="0"/>
      <w:jc w:val="both"/>
    </w:pPr>
    <w:rPr>
      <w:rFonts w:ascii="等线" w:eastAsia="等线" w:cs="Arial"/>
      <w:kern w:val="2"/>
      <w:sz w:val="21"/>
      <w:szCs w:val="22"/>
      <w:lang w:val="en-US" w:eastAsia="zh-CN" w:bidi="ar-SA"/>
    </w:rPr>
  </w:style>
  <w:style w:type="paragraph" w:customStyle="1" w:styleId="227">
    <w:name w:val="样式 9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8">
    <w:name w:val="样式 8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9">
    <w:name w:val="样式 49 10 磅"/>
    <w:pPr>
      <w:widowControl w:val="0"/>
      <w:jc w:val="both"/>
    </w:pPr>
    <w:rPr>
      <w:rFonts w:ascii="等线" w:eastAsia="等线" w:cs="Arial"/>
      <w:kern w:val="2"/>
      <w:sz w:val="21"/>
      <w:szCs w:val="22"/>
      <w:lang w:val="en-US" w:eastAsia="zh-CN" w:bidi="ar-SA"/>
    </w:rPr>
  </w:style>
  <w:style w:type="paragraph" w:customStyle="1" w:styleId="230">
    <w:name w:val="样式 50 10 磅"/>
    <w:pPr>
      <w:widowControl w:val="0"/>
      <w:jc w:val="both"/>
    </w:pPr>
    <w:rPr>
      <w:rFonts w:ascii="Calibri" w:eastAsia="宋体" w:cs="Arial" w:hAnsi="Calibri"/>
      <w:kern w:val="2"/>
      <w:sz w:val="21"/>
      <w:szCs w:val="24"/>
      <w:lang w:val="en-US" w:eastAsia="zh-CN" w:bidi="ar-SA"/>
    </w:rPr>
  </w:style>
  <w:style w:type="paragraph" w:customStyle="1" w:styleId="231">
    <w:name w:val="样式 5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2">
    <w:name w:val="样式 5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3">
    <w:name w:val="样式 5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4">
    <w:name w:val="样式 5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5">
    <w:name w:val="样式 5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6">
    <w:name w:val="样式 10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37">
    <w:name w:val="样式 5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8">
    <w:name w:val="样式 5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9">
    <w:name w:val="样式 8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40">
    <w:name w:val="样式 5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1">
    <w:name w:val="样式 5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2">
    <w:name w:val="样式 6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3">
    <w:name w:val="样式 6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4">
    <w:name w:val="样式 11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45">
    <w:name w:val="样式 3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6">
    <w:name w:val="样式 6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7">
    <w:name w:val="样式 6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8">
    <w:name w:val="样式 6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9">
    <w:name w:val="样式 3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0">
    <w:name w:val="样式 3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1">
    <w:name w:val="样式 6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2">
    <w:name w:val="样式 8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3">
    <w:name w:val="列出段落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4">
    <w:name w:val="样式 3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5">
    <w:name w:val="样式 27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6">
    <w:name w:val="样式 8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7">
    <w:name w:val="样式 8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8">
    <w:name w:val="样式 2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9">
    <w:name w:val="样式 3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0">
    <w:name w:val="样式 35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1">
    <w:name w:val="样式 3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2">
    <w:name w:val="样式 3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3">
    <w:name w:val="样式 3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4">
    <w:name w:val="样式 51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8"/>
      <w:u w:val="none" w:color="auto"/>
      <w:shd w:val="clear" w:color="auto" w:fill="auto"/>
      <w:vertAlign w:val="baseline"/>
      <w:em w:val="none"/>
      <w:lang w:val="en-US" w:eastAsia="zh-CN" w:bidi="ar-SA"/>
    </w:rPr>
  </w:style>
  <w:style w:type="paragraph" w:customStyle="1" w:styleId="265">
    <w:name w:val="样式 9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6">
    <w:name w:val="样式 3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7">
    <w:name w:val="样式 36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8">
    <w:name w:val="样式 48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9">
    <w:name w:val="样式 48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0">
    <w:name w:val="样式 3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1">
    <w:name w:val="样式 9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2">
    <w:name w:val="样式 9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4"/>
      <w:w w:val="100"/>
      <w:kern w:val="2"/>
      <w:position w:val="0"/>
      <w:sz w:val="32"/>
      <w:szCs w:val="20"/>
      <w:u w:val="none" w:color="auto"/>
      <w:shd w:val="clear" w:color="auto" w:fill="auto"/>
      <w:vertAlign w:val="baseline"/>
      <w:em w:val="none"/>
      <w:lang w:val="en-US" w:eastAsia="zh-CN" w:bidi="ar-SA"/>
    </w:rPr>
  </w:style>
  <w:style w:type="paragraph" w:customStyle="1" w:styleId="273">
    <w:name w:val="样式 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4">
    <w:name w:val="样式 9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5">
    <w:name w:val="样式 9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6">
    <w:name w:val="样式 9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7">
    <w:name w:val="样式 2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8">
    <w:name w:val="样式 2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9">
    <w:name w:val="样式 9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0">
    <w:name w:val="样式 6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81">
    <w:name w:val="样式 11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2">
    <w:name w:val="样式 9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3">
    <w:name w:val="样式 13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4">
    <w:name w:val="样式 13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5">
    <w:name w:val="样式 1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6">
    <w:name w:val="样式 2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7">
    <w:name w:val="样式 9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8">
    <w:name w:val="样式 100 三号"/>
    <w:pPr>
      <w:widowControl w:val="0"/>
      <w:jc w:val="both"/>
    </w:pPr>
    <w:rPr>
      <w:rFonts w:ascii="方正仿宋_GBK" w:eastAsia="方正仿宋_GBK" w:cs="方正仿宋_GBK"/>
      <w:kern w:val="2"/>
      <w:sz w:val="32"/>
      <w:szCs w:val="32"/>
      <w:lang w:val="en-US" w:eastAsia="zh-CN" w:bidi="ar-SA"/>
    </w:rPr>
  </w:style>
  <w:style w:type="paragraph" w:customStyle="1" w:styleId="289">
    <w:name w:val="样式 47 10 磅"/>
    <w:pPr>
      <w:widowControl w:val="0"/>
      <w:jc w:val="both"/>
    </w:pPr>
    <w:rPr>
      <w:rFonts w:ascii="Times New Roman" w:eastAsia="宋体" w:cs="Times New Roman" w:hAnsi="Times New Roman"/>
      <w:kern w:val="2"/>
      <w:sz w:val="21"/>
      <w:szCs w:val="21"/>
      <w:lang w:val="en-US" w:eastAsia="zh-CN" w:bidi="ar-SA"/>
    </w:rPr>
  </w:style>
  <w:style w:type="paragraph" w:customStyle="1" w:styleId="290">
    <w:name w:val="样式 67 10 磅"/>
    <w:pPr>
      <w:widowControl w:val="0"/>
      <w:jc w:val="both"/>
    </w:pPr>
    <w:rPr>
      <w:rFonts w:ascii="Times New Roman" w:eastAsia="宋体" w:cs="Times New Roman" w:hAnsi="Times New Roman"/>
      <w:kern w:val="2"/>
      <w:sz w:val="21"/>
      <w:szCs w:val="21"/>
      <w:lang w:val="en-US" w:eastAsia="zh-CN" w:bidi="ar-SA"/>
    </w:rPr>
  </w:style>
  <w:style w:type="paragraph" w:customStyle="1" w:styleId="291">
    <w:name w:val="样式 68 10 磅"/>
    <w:pPr>
      <w:widowControl w:val="0"/>
      <w:jc w:val="both"/>
    </w:pPr>
    <w:rPr>
      <w:rFonts w:ascii="Times New Roman" w:eastAsia="宋体" w:cs="Times New Roman" w:hAnsi="Times New Roman"/>
      <w:kern w:val="2"/>
      <w:sz w:val="21"/>
      <w:szCs w:val="21"/>
      <w:lang w:val="en-US" w:eastAsia="zh-CN" w:bidi="ar-SA"/>
    </w:rPr>
  </w:style>
  <w:style w:type="character" w:customStyle="1" w:styleId="292">
    <w:name w:val="font21"/>
    <w:basedOn w:val="0"/>
    <w:rPr>
      <w:rFonts w:ascii="方正仿宋_GBK" w:eastAsia="方正仿宋_GBK" w:cs="方正仿宋_GBK"/>
      <w:color w:val="000000"/>
      <w:sz w:val="22"/>
      <w:szCs w:val="22"/>
      <w:u w:val="none"/>
    </w:rPr>
  </w:style>
  <w:style w:type="character" w:customStyle="1" w:styleId="293">
    <w:name w:val="font11"/>
    <w:basedOn w:val="0"/>
    <w:rPr>
      <w:rFonts w:ascii="宋体" w:eastAsia="宋体" w:cs="宋体"/>
      <w:color w:val="000000"/>
      <w:sz w:val="22"/>
      <w:szCs w:val="22"/>
      <w:u w:val="none"/>
    </w:rPr>
  </w:style>
  <w:style w:type="paragraph" w:customStyle="1" w:styleId="294">
    <w:name w:val="样式 101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5">
    <w:name w:val="样式 102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6">
    <w:name w:val="样式 17 小四"/>
    <w:pPr>
      <w:widowControl w:val="0"/>
    </w:pPr>
    <w:rPr>
      <w:rFonts w:ascii="宋体" w:eastAsia="宋体" w:cs="Times New Roman"/>
      <w:kern w:val="2"/>
      <w:sz w:val="24"/>
      <w:szCs w:val="21"/>
      <w:lang w:val="en-US" w:eastAsia="zh-CN" w:bidi="ar-SA"/>
    </w:rPr>
  </w:style>
  <w:style w:type="paragraph" w:customStyle="1" w:styleId="297">
    <w:name w:val="样式 18 小四"/>
    <w:pPr>
      <w:widowControl w:val="0"/>
    </w:pPr>
    <w:rPr>
      <w:rFonts w:ascii="宋体" w:eastAsia="宋体" w:cs="Times New Roman"/>
      <w:kern w:val="2"/>
      <w:sz w:val="24"/>
      <w:szCs w:val="21"/>
      <w:lang w:val="en-US" w:eastAsia="zh-CN" w:bidi="ar-SA"/>
    </w:rPr>
  </w:style>
  <w:style w:type="paragraph" w:customStyle="1" w:styleId="298">
    <w:name w:val="样式 103 三号"/>
    <w:pPr>
      <w:spacing w:line="320" w:lineRule="atLeast"/>
    </w:pPr>
    <w:rPr>
      <w:rFonts w:ascii="Times New Roman" w:eastAsia="宋体" w:cs="Times New Roman" w:hAnsi="Times New Roman"/>
      <w:sz w:val="32"/>
      <w:szCs w:val="32"/>
      <w:lang w:val="en-US" w:eastAsia="zh-CN" w:bidi="ar-SA"/>
    </w:rPr>
  </w:style>
  <w:style w:type="paragraph" w:customStyle="1" w:styleId="299">
    <w:name w:val="样式 69 10 磅"/>
    <w:pPr>
      <w:widowControl w:val="0"/>
      <w:jc w:val="both"/>
    </w:pPr>
    <w:rPr>
      <w:rFonts w:ascii="Calibri" w:eastAsia="宋体" w:cs="Times New Roman" w:hAnsi="Calibri"/>
      <w:kern w:val="2"/>
      <w:sz w:val="21"/>
      <w:szCs w:val="22"/>
      <w:lang w:val="en-US" w:eastAsia="zh-CN" w:bidi="ar-SA"/>
    </w:rPr>
  </w:style>
  <w:style w:type="paragraph" w:customStyle="1" w:styleId="300">
    <w:name w:val="样式 104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1">
    <w:name w:val="样式 105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2">
    <w:name w:val="样式 106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3">
    <w:name w:val="样式 19 小四"/>
    <w:rPr>
      <w:rFonts w:ascii="Times New Roman" w:eastAsia="宋体" w:cs="Times New Roman" w:hAnsi="Times New Roman"/>
      <w:sz w:val="24"/>
      <w:szCs w:val="24"/>
      <w:lang w:val="en-US" w:eastAsia="zh-CN" w:bidi="ar-SA"/>
    </w:rPr>
  </w:style>
  <w:style w:type="paragraph" w:customStyle="1" w:styleId="304">
    <w:name w:val="样式 20 小四"/>
    <w:rPr>
      <w:rFonts w:ascii="Times New Roman" w:eastAsia="宋体" w:cs="Times New Roman" w:hAnsi="Times New Roman"/>
      <w:sz w:val="24"/>
      <w:szCs w:val="24"/>
      <w:lang w:val="en-US" w:eastAsia="zh-CN" w:bidi="ar-SA"/>
    </w:rPr>
  </w:style>
  <w:style w:type="paragraph" w:customStyle="1" w:styleId="305">
    <w:name w:val="样式 70 10 磅"/>
    <w:pPr>
      <w:widowControl w:val="0"/>
      <w:jc w:val="both"/>
    </w:pPr>
    <w:rPr>
      <w:rFonts w:ascii="等线" w:eastAsia="等线" w:cs="Arial"/>
      <w:kern w:val="2"/>
      <w:sz w:val="21"/>
      <w:szCs w:val="22"/>
      <w:lang w:val="en-US" w:eastAsia="zh-CN" w:bidi="ar-SA"/>
    </w:rPr>
  </w:style>
  <w:style w:type="paragraph" w:customStyle="1" w:styleId="306">
    <w:name w:val="样式 72 10 磅"/>
    <w:pPr>
      <w:widowControl w:val="0"/>
      <w:jc w:val="both"/>
    </w:pPr>
    <w:rPr>
      <w:rFonts w:ascii="Times New Roman" w:eastAsia="宋体" w:cs="Times New Roman" w:hAnsi="Times New Roman"/>
      <w:kern w:val="2"/>
      <w:sz w:val="21"/>
      <w:szCs w:val="21"/>
      <w:lang w:val="en-US" w:eastAsia="zh-CN" w:bidi="ar-SA"/>
    </w:rPr>
  </w:style>
  <w:style w:type="paragraph" w:customStyle="1" w:styleId="307">
    <w:name w:val="样式 10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08">
    <w:name w:val="样式 108 三号"/>
    <w:pPr>
      <w:widowControl w:val="0"/>
      <w:jc w:val="both"/>
    </w:pPr>
    <w:rPr>
      <w:rFonts w:ascii="Times New Roman" w:eastAsia="方正仿宋_GBK" w:cs="Times New Roman" w:hAnsi="Times New Roman"/>
      <w:kern w:val="2"/>
      <w:sz w:val="32"/>
      <w:szCs w:val="22"/>
      <w:lang w:val="en-US" w:eastAsia="zh-CN" w:bidi="ar-SA"/>
    </w:rPr>
  </w:style>
  <w:style w:type="paragraph" w:styleId="309">
    <w:name w:val="toc 1"/>
    <w:basedOn w:val="0"/>
    <w:autoRedefine/>
    <w:next w:val="0"/>
  </w:style>
  <w:style w:type="paragraph" w:customStyle="1" w:styleId="310">
    <w:name w:val="样式 10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1">
    <w:name w:val="样式 11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2">
    <w:name w:val="样式 112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3">
    <w:name w:val="样式 113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4">
    <w:name w:val="样式 114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5">
    <w:name w:val="样式 115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6">
    <w:name w:val="样式 116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7">
    <w:name w:val="样式 117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8">
    <w:name w:val="样式 118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9">
    <w:name w:val="样式 119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0">
    <w:name w:val="样式 120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1">
    <w:name w:val="样式 121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2">
    <w:name w:val="样式 12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23">
    <w:name w:val="样式 12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4">
    <w:name w:val="样式 12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5">
    <w:name w:val="样式 12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6">
    <w:name w:val="样式 12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7">
    <w:name w:val="样式 12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8">
    <w:name w:val="样式 12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9">
    <w:name w:val="样式 12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0">
    <w:name w:val="样式 1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1">
    <w:name w:val="样式 13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2">
    <w:name w:val="样式 1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3">
    <w:name w:val="样式 13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4">
    <w:name w:val="样式 13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5">
    <w:name w:val="样式 13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6">
    <w:name w:val="样式 13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7">
    <w:name w:val="样式 13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8">
    <w:name w:val="样式 1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9">
    <w:name w:val="样式 1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40">
    <w:name w:val="样式 7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1">
    <w:name w:val="样式 7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2">
    <w:name w:val="样式 7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3">
    <w:name w:val="样式 7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4">
    <w:name w:val="样式 7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5">
    <w:name w:val="样式 8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6">
    <w:name w:val="样式 8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7">
    <w:name w:val="样式 8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8">
    <w:name w:val="样式 83 10 磅"/>
    <w:pPr>
      <w:widowControl w:val="0"/>
      <w:jc w:val="both"/>
    </w:pPr>
    <w:rPr>
      <w:rFonts w:ascii="Times New Roman" w:eastAsia="宋体" w:cs="Times New Roman" w:hAnsi="Times New Roman"/>
      <w:kern w:val="2"/>
      <w:sz w:val="21"/>
      <w:szCs w:val="21"/>
      <w:lang w:val="en-US" w:eastAsia="zh-CN" w:bidi="ar-SA"/>
    </w:rPr>
  </w:style>
  <w:style w:type="paragraph" w:customStyle="1" w:styleId="349">
    <w:name w:val="样式 84 10 磅"/>
    <w:pPr>
      <w:widowControl w:val="0"/>
      <w:jc w:val="both"/>
    </w:pPr>
    <w:rPr>
      <w:rFonts w:ascii="Times New Roman" w:eastAsia="宋体" w:cs="Times New Roman" w:hAnsi="Times New Roman"/>
      <w:kern w:val="2"/>
      <w:sz w:val="21"/>
      <w:szCs w:val="21"/>
      <w:lang w:val="en-US" w:eastAsia="zh-CN" w:bidi="ar-SA"/>
    </w:rPr>
  </w:style>
  <w:style w:type="paragraph" w:customStyle="1" w:styleId="350">
    <w:name w:val="样式 85 10 磅"/>
    <w:pPr>
      <w:widowControl w:val="0"/>
      <w:jc w:val="both"/>
    </w:pPr>
    <w:rPr>
      <w:rFonts w:ascii="Times New Roman" w:eastAsia="宋体" w:cs="Times New Roman" w:hAnsi="Times New Roman"/>
      <w:kern w:val="2"/>
      <w:sz w:val="21"/>
      <w:szCs w:val="21"/>
      <w:lang w:val="en-US" w:eastAsia="zh-CN" w:bidi="ar-SA"/>
    </w:rPr>
  </w:style>
  <w:style w:type="paragraph" w:customStyle="1" w:styleId="351">
    <w:name w:val="样式 86 10 磅"/>
    <w:pPr>
      <w:widowControl w:val="0"/>
      <w:jc w:val="both"/>
    </w:pPr>
    <w:rPr>
      <w:rFonts w:ascii="Times New Roman" w:eastAsia="宋体" w:cs="Times New Roman" w:hAnsi="Times New Roman"/>
      <w:kern w:val="2"/>
      <w:sz w:val="21"/>
      <w:szCs w:val="21"/>
      <w:lang w:val="en-US" w:eastAsia="zh-CN" w:bidi="ar-SA"/>
    </w:rPr>
  </w:style>
  <w:style w:type="paragraph" w:customStyle="1" w:styleId="352">
    <w:name w:val="样式 87 10 磅"/>
    <w:pPr>
      <w:widowControl w:val="0"/>
      <w:jc w:val="both"/>
    </w:pPr>
    <w:rPr>
      <w:rFonts w:ascii="Times New Roman" w:eastAsia="宋体" w:cs="Times New Roman" w:hAnsi="Times New Roman"/>
      <w:kern w:val="2"/>
      <w:sz w:val="21"/>
      <w:szCs w:val="21"/>
      <w:lang w:val="en-US" w:eastAsia="zh-CN" w:bidi="ar-SA"/>
    </w:rPr>
  </w:style>
  <w:style w:type="paragraph" w:customStyle="1" w:styleId="353">
    <w:name w:val="样式 88 10 磅"/>
    <w:pPr>
      <w:widowControl w:val="0"/>
      <w:jc w:val="both"/>
    </w:pPr>
    <w:rPr>
      <w:rFonts w:ascii="Times New Roman" w:eastAsia="宋体" w:cs="Times New Roman" w:hAnsi="Times New Roman"/>
      <w:kern w:val="2"/>
      <w:sz w:val="21"/>
      <w:szCs w:val="21"/>
      <w:lang w:val="en-US" w:eastAsia="zh-CN" w:bidi="ar-SA"/>
    </w:rPr>
  </w:style>
  <w:style w:type="paragraph" w:customStyle="1" w:styleId="354">
    <w:name w:val="样式 14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5">
    <w:name w:val="样式 14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6">
    <w:name w:val="Default"/>
    <w:pPr>
      <w:widowControl w:val="0"/>
      <w:autoSpaceDE w:val="0"/>
      <w:autoSpaceDN w:val="0"/>
      <w:adjustRightInd w:val="0"/>
    </w:pPr>
    <w:rPr>
      <w:rFonts w:ascii="Times New Roman" w:eastAsia="宋体" w:cs="Times New Roman" w:hAnsi="Times New Roman"/>
      <w:color w:val="000000"/>
      <w:sz w:val="24"/>
      <w:szCs w:val="24"/>
      <w:lang w:val="en-US" w:eastAsia="zh-CN" w:bidi="ar-SA"/>
    </w:rPr>
  </w:style>
  <w:style w:type="paragraph" w:customStyle="1" w:styleId="357">
    <w:name w:val="样式 14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8">
    <w:name w:val="样式 14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9">
    <w:name w:val="样式 14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0">
    <w:name w:val="样式 14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1">
    <w:name w:val="样式 14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2">
    <w:name w:val="样式 15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3">
    <w:name w:val="样式 15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4">
    <w:name w:val="样式 15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5">
    <w:name w:val="样式 15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6">
    <w:name w:val="样式 15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7">
    <w:name w:val="样式 15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8">
    <w:name w:val="样式 156 三号"/>
    <w:pPr>
      <w:widowControl w:val="0"/>
      <w:jc w:val="both"/>
    </w:pPr>
    <w:rPr>
      <w:rFonts w:ascii="Times New Roman" w:eastAsia="方正仿宋_GBK" w:cs="Times New Roman" w:hAnsi="Times New Roman"/>
      <w:kern w:val="2"/>
      <w:sz w:val="32"/>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974</TotalTime>
  <Application>Yozo_Office</Application>
  <Pages>15</Pages>
  <Words>6462</Words>
  <Characters>6485</Characters>
  <Lines>304</Lines>
  <Paragraphs>123</Paragraphs>
  <CharactersWithSpaces>6759</CharactersWithSpaces>
  <Company>CGAC</Company>
</Properties>
</file>

<file path=docProps/core.xml><?xml version="1.0" encoding="utf-8"?>
<cp:coreProperties xmlns:cp="http://schemas.openxmlformats.org/package/2006/metadata/core-properties" xmlns:dc="http://purl.org/dc/elements/1.1/" xmlns:dcterms="http://purl.org/dc/terms/" xmlns:xsi="http://www.w3.org/2001/XMLSchema-instance">
  <dc:creator>Windows User</dc:creator>
  <cp:lastModifiedBy>文静</cp:lastModifiedBy>
  <cp:revision>1</cp:revision>
  <dcterms:created xsi:type="dcterms:W3CDTF">2024-08-29T08:36:21Z</dcterms:created>
  <dcterms:modified xsi:type="dcterms:W3CDTF">2024-10-28T02:02:56Z</dcterms:modified>
</cp:coreProperties>
</file>