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2"/>
        <w:spacing w:line="560" w:lineRule="exact"/>
        <w:rPr>
          <w:rFonts w:hint="eastAsia"/>
        </w:rPr>
      </w:pPr>
      <w:bookmarkStart w:id="0" w:name="wpds__正文__File"/>
      <w:bookmarkStart w:id="1" w:name="_GoBack"/>
      <w:bookmarkEnd w:id="1"/>
      <w:r>
        <w:rPr>
          <w:rFonts w:ascii="方正黑体_GBK" w:eastAsia="方正黑体_GBK" w:hint="eastAsia"/>
          <w:vanish w:val="0"/>
          <w:szCs w:val="32"/>
        </w:rPr>
        <w:t>附件2</w:t>
      </w:r>
    </w:p>
    <w:p>
      <w:pPr>
        <w:pStyle w:val="27"/>
        <w:pBdr>
          <w:top w:val="none" w:sz="0" w:space="0" w:color="auto"/>
          <w:left w:val="none" w:sz="0" w:space="0" w:color="auto"/>
          <w:bottom w:val="none" w:sz="0" w:space="0" w:color="auto"/>
          <w:right w:val="none" w:sz="0" w:space="0" w:color="auto"/>
        </w:pBdr>
        <w:spacing w:line="560" w:lineRule="exact"/>
        <w:ind w:firstLineChars="100" w:firstLine="432"/>
        <w:jc w:val="center"/>
        <w:rPr>
          <w:rFonts w:ascii="宋体" w:eastAsia="宋体" w:hint="eastAsia"/>
          <w:vanish w:val="0"/>
          <w:spacing w:val="-4"/>
          <w:sz w:val="44"/>
          <w:szCs w:val="44"/>
        </w:rPr>
      </w:pPr>
    </w:p>
    <w:p>
      <w:pPr>
        <w:pStyle w:val="27"/>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楷体_GB2312" w:hint="eastAsia"/>
          <w:bCs/>
          <w:vanish w:val="0"/>
          <w:spacing w:val="-4"/>
          <w:kern w:val="44"/>
          <w:sz w:val="44"/>
          <w:szCs w:val="44"/>
        </w:rPr>
      </w:pPr>
      <w:bookmarkStart w:id="2" w:name="_Toc83218834"/>
      <w:bookmarkStart w:id="3" w:name="_Toc82338286"/>
      <w:r>
        <w:rPr>
          <w:rFonts w:ascii="方正小标宋_GBK" w:eastAsia="方正小标宋_GBK" w:cs="楷体_GB2312" w:hint="eastAsia"/>
          <w:bCs/>
          <w:vanish w:val="0"/>
          <w:spacing w:val="-4"/>
          <w:kern w:val="44"/>
          <w:sz w:val="44"/>
          <w:szCs w:val="44"/>
        </w:rPr>
        <w:t>中华人民共和国海关关于超期未报关进口货物、误卸或者溢卸的进境货物和放弃进口货物的</w:t>
      </w:r>
      <w:r>
        <w:rPr>
          <w:rFonts w:ascii="方正小标宋_GBK" w:eastAsia="方正小标宋_GBK" w:cs="楷体_GB2312"/>
          <w:bCs/>
          <w:vanish w:val="0"/>
          <w:spacing w:val="-4"/>
          <w:kern w:val="44"/>
          <w:sz w:val="44"/>
          <w:szCs w:val="44"/>
        </w:rPr>
        <w:br/>
      </w:r>
      <w:r>
        <w:rPr>
          <w:rFonts w:ascii="方正小标宋_GBK" w:eastAsia="方正小标宋_GBK" w:cs="楷体_GB2312" w:hint="eastAsia"/>
          <w:bCs/>
          <w:vanish w:val="0"/>
          <w:spacing w:val="-4"/>
          <w:kern w:val="44"/>
          <w:sz w:val="44"/>
          <w:szCs w:val="44"/>
        </w:rPr>
        <w:t>处理办法</w:t>
      </w:r>
      <w:bookmarkEnd w:id="2"/>
      <w:bookmarkEnd w:id="3"/>
    </w:p>
    <w:p>
      <w:pPr>
        <w:pStyle w:val="153"/>
        <w:pBdr>
          <w:top w:val="none" w:sz="0" w:space="0" w:color="auto"/>
          <w:left w:val="none" w:sz="0" w:space="0" w:color="auto"/>
          <w:bottom w:val="none" w:sz="0" w:space="0" w:color="auto"/>
          <w:right w:val="none" w:sz="0" w:space="0" w:color="auto"/>
        </w:pBdr>
        <w:spacing w:line="560" w:lineRule="exact"/>
        <w:rPr>
          <w:vanish w:val="0"/>
        </w:rPr>
      </w:pP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第一条 </w:t>
      </w:r>
      <w:r>
        <w:rPr>
          <w:rFonts w:ascii="方正仿宋_GBK" w:eastAsia="方正仿宋_GBK" w:cs="宋体" w:hint="eastAsia"/>
          <w:vanish w:val="0"/>
          <w:sz w:val="32"/>
          <w:szCs w:val="32"/>
        </w:rPr>
        <w:t>为了加强对超期未报关进口货物、误卸或者溢卸的进境货物和放弃进口货物的处理，根据《中华人民共和国海关法》的规定，制定本办法。</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第二条 </w:t>
      </w:r>
      <w:r>
        <w:rPr>
          <w:rFonts w:ascii="方正仿宋_GBK" w:eastAsia="方正仿宋_GBK" w:cs="宋体" w:hint="eastAsia"/>
          <w:vanish w:val="0"/>
          <w:sz w:val="32"/>
          <w:szCs w:val="32"/>
        </w:rPr>
        <w:t>进口货物的收货人应当自运输工具申报进境之日起十四日内向海关申报。进口货物的收货人超过上述规定期限向海关申报的，由海关按照《中华人民共和国海关征收进口货物滞报金办法》的规定，征收滞报金；超过三个月未向海关申报的，其进口货物由海关提取依法变卖处理。</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第三条 </w:t>
      </w:r>
      <w:r>
        <w:rPr>
          <w:rFonts w:ascii="方正仿宋_GBK" w:eastAsia="方正仿宋_GBK" w:cs="宋体" w:hint="eastAsia"/>
          <w:vanish w:val="0"/>
          <w:sz w:val="32"/>
          <w:szCs w:val="32"/>
        </w:rPr>
        <w:t>由进境运输工具载运进境并且因故卸至海关监管区或者其他经海关批准的场所，未列入进口载货清单、运单向海关申报进境的误卸或者溢卸的进境货物，经海关审定确实的，由载运该货物的原运输工具负责人，自该运输工具卸货之日起三个月内，向海关办理直接退运出境手续；或者由该货物的收发货人，自该运输工具卸货之日起三个月内，向海关办理退运或者申报进口手续。</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前款所列货物，经载运该货物的原运输工具负责人，或者该货物的收发货人申请，海关批准，可以延期三个月办理退运出境或者申报进口手续。</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本条第一款所列货物，超过前两款规定的期限，未向海关办理退运出境或者申报进口手续的，由海关提取依法变卖处理。</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第四条 </w:t>
      </w:r>
      <w:r>
        <w:rPr>
          <w:rFonts w:ascii="方正仿宋_GBK" w:eastAsia="方正仿宋_GBK" w:cs="宋体" w:hint="eastAsia"/>
          <w:vanish w:val="0"/>
          <w:sz w:val="32"/>
          <w:szCs w:val="32"/>
        </w:rPr>
        <w:t>进口货物的收货人或者其所有人声明放弃的进口货物，由海关提取依法变卖处理。</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国家禁止或者限制进口的废物、对环境造成污染的货物不得声明放弃。除符合国家规定，并且办理申报进口手续，准予进口的外，由海关责令货物的收货人或者其所有人、载运该货物进境的运输工具负责人退运出境；无法退运的，由海关责令其在海关和有关主管部门监督下予以销毁或者进行其他妥善处理，销毁和处理的费用由收货人承担，收货人无法确认的，由相关运输工具负责人及承运人承担；违反国家有关法律法规的，由海关依法予以处罚，构成犯罪的，依法追究刑事责任。</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第五条</w:t>
      </w:r>
      <w:r>
        <w:rPr>
          <w:rFonts w:ascii="方正仿宋_GBK" w:eastAsia="方正仿宋_GBK" w:cs="宋体" w:hint="eastAsia"/>
          <w:b/>
          <w:bCs w:val="0"/>
          <w:vanish w:val="0"/>
          <w:sz w:val="32"/>
          <w:szCs w:val="32"/>
        </w:rPr>
        <w:t xml:space="preserve"> </w:t>
      </w:r>
      <w:r>
        <w:rPr>
          <w:rFonts w:ascii="方正仿宋_GBK" w:eastAsia="方正仿宋_GBK" w:cs="宋体" w:hint="eastAsia"/>
          <w:vanish w:val="0"/>
          <w:sz w:val="32"/>
          <w:szCs w:val="32"/>
        </w:rPr>
        <w:t>保税货物、暂时进口货物超过规定的期限三个月，未向海关办理复运出境或者其他海关有关手续的；过境、转运和通运货物超过规定的期限三个月，未运输出境的，按照本办法第二条的规定处理。</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第六条</w:t>
      </w:r>
      <w:r>
        <w:rPr>
          <w:rFonts w:ascii="方正仿宋_GBK" w:eastAsia="方正仿宋_GBK" w:cs="宋体" w:hint="eastAsia"/>
          <w:b/>
          <w:bCs w:val="0"/>
          <w:vanish w:val="0"/>
          <w:sz w:val="32"/>
          <w:szCs w:val="32"/>
        </w:rPr>
        <w:t xml:space="preserve"> </w:t>
      </w:r>
      <w:r>
        <w:rPr>
          <w:rFonts w:ascii="方正仿宋_GBK" w:eastAsia="方正仿宋_GBK" w:cs="宋体" w:hint="eastAsia"/>
          <w:vanish w:val="0"/>
          <w:sz w:val="32"/>
          <w:szCs w:val="32"/>
        </w:rPr>
        <w:t>超期未报关进口货物、误卸或者溢卸的进境货物和放弃进口货物属于海关实施检验检疫的进出境商品目录范围的，海关应当在变卖前进行检验、检疫，检验、检疫的费用与其他变卖处理实际支出的费用从变卖款中支付。</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第七条 </w:t>
      </w:r>
      <w:r>
        <w:rPr>
          <w:rFonts w:ascii="方正仿宋_GBK" w:eastAsia="方正仿宋_GBK" w:cs="宋体" w:hint="eastAsia"/>
          <w:vanish w:val="0"/>
          <w:sz w:val="32"/>
          <w:szCs w:val="32"/>
        </w:rPr>
        <w:t>按照本办法第二条、第三条、第五条规定由海关提取依法变卖处理的超期未报、误卸或者溢卸等货物的所得价款，在优先拨付变卖处理实际支出的费用后，按照下列顺序扣除相关费用和税款：</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（一）运输、装卸、储存等费用；</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（二）进口关税；</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（三）进口环节海关代征税；</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（四）滞报金。</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所得价款不足以支付同一顺序的相关费用的，按照比例支付。</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扣除上述第（二）项进口关税的计税价格按照下列公式计算：</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480"/>
        <w:jc w:val="both"/>
        <w:rPr>
          <w:rFonts w:ascii="方正仿宋_GBK" w:eastAsia="方正仿宋_GBK" w:cs="宋体" w:hint="eastAsia"/>
          <w:vanish w:val="0"/>
          <w:sz w:val="32"/>
          <w:szCs w:val="32"/>
        </w:rPr>
      </w:pPr>
      <w:r>
        <w:rPr>
          <w:vanish w:val="0"/>
        </w:rPr>
        <mc:AlternateContent>
          <mc:Choice Requires="wps">
            <w:drawing>
              <wp:anchor distT="0" distB="0" distL="85725" distR="85725" simplePos="0" relativeHeight="13" behindDoc="0" locked="0" layoutInCell="1" hidden="0" allowOverlap="1">
                <wp:simplePos x="0" y="0"/>
                <wp:positionH relativeFrom="column">
                  <wp:posOffset>629919</wp:posOffset>
                </wp:positionH>
                <wp:positionV relativeFrom="paragraph">
                  <wp:posOffset>459740</wp:posOffset>
                </wp:positionV>
                <wp:extent cx="1301750" cy="551814"/>
                <wp:effectExtent l="0" t="0" r="0" b="0"/>
                <wp:wrapNone/>
                <wp:docPr id="1" name="文本框"/>
                <wp:cNvGraphicFramePr>
                  <a:graphicFrameLocks noChangeAspect="0"/>
                </wp:cNvGraphicFramePr>
                <a:graphic>
                  <a:graphicData uri="http://schemas.microsoft.com/office/word/2010/wordprocessingShape">
                    <wps:wsp>
                      <wps:cNvSpPr/>
                      <wps:spPr>
                        <a:xfrm rot="0">
                          <a:off x="0" y="0"/>
                          <a:ext cx="1301750" cy="551814"/>
                        </a:xfrm>
                        <a:prstGeom prst="rect"/>
                        <a:noFill/>
                        <a:ln w="9525" cmpd="sng" cap="flat">
                          <a:noFill/>
                          <a:prstDash val="solid"/>
                          <a:miter/>
                        </a:ln>
                      </wps:spPr>
                      <wps:txbx id="2">
                        <w:txbxContent>
                          <w:p>
                            <w:pPr>
                              <w:pStyle w:val="48"/>
                            </w:pPr>
                            <w:r>
                              <w:rPr>
                                <w:rFonts w:ascii="Times New Roman" w:eastAsia="方正仿宋_GBK" w:hAnsi="Times New Roman" w:hint="eastAsia"/>
                              </w:rPr>
                              <w:t>计税价格</w:t>
                            </w:r>
                            <w:r>
                              <w:t>=</w:t>
                            </w:r>
                          </w:p>
                        </w:txbxContent>
                      </wps:txbx>
                      <wps:bodyPr vert="horz" wrap="square" lIns="91440" tIns="45720" rIns="91440" bIns="45720" anchor="t" anchorCtr="0" upright="1">
                        <a:noAutofit/>
                      </wps:bodyPr>
                    </wps:wsp>
                  </a:graphicData>
                </a:graphic>
              </wp:anchor>
            </w:drawing>
          </mc:Choice>
          <mc:Fallback>
            <w:pict>
              <v:shape type="#_x0000_t202" id="文本框 3" o:spid="_x0000_s3" filled="f" stroked="f" style="position:absolute;margin-left:49.6pt;margin-top:36.2pt;width:102.50001pt;height:43.449997pt;z-index:13;mso-position-horizontal:absolute;mso-position-vertical:absolute;mso-wrap-distance-left:6.75pt;mso-wrap-distance-right:6.75pt;mso-wrap-style:square;">
                <v:stroke color="#000000"/>
                <v:textbox id="848" inset="2.54mm,1.27mm,2.54mm,1.27mm" o:insetmode="custom" style="layout-flow:horizontal;v-text-anchor:top;">
                  <w:txbxContent>
                    <w:p>
                      <w:pPr>
                        <w:pStyle w:val="48"/>
                      </w:pPr>
                      <w:r>
                        <w:rPr>
                          <w:rFonts w:ascii="Times New Roman" w:eastAsia="方正仿宋_GBK" w:hAnsi="Times New Roman" w:hint="eastAsia"/>
                        </w:rPr>
                        <w:t>计税价格</w:t>
                      </w:r>
                      <w:r>
                        <w:t>=</w:t>
                      </w:r>
                    </w:p>
                  </w:txbxContent>
                </v:textbox>
              </v:shape>
            </w:pict>
          </mc:Fallback>
        </mc:AlternateContent>
      </w:r>
      <w:r>
        <w:rPr>
          <w:vanish w:val="0"/>
        </w:rPr>
        <mc:AlternateContent>
          <mc:Choice Requires="wps">
            <w:drawing>
              <wp:anchor distT="0" distB="0" distL="85725" distR="85725" simplePos="0" relativeHeight="14" behindDoc="0" locked="0" layoutInCell="1" hidden="0" allowOverlap="1">
                <wp:simplePos x="0" y="0"/>
                <wp:positionH relativeFrom="column">
                  <wp:posOffset>1868170</wp:posOffset>
                </wp:positionH>
                <wp:positionV relativeFrom="paragraph">
                  <wp:posOffset>40640</wp:posOffset>
                </wp:positionV>
                <wp:extent cx="2980055" cy="558800"/>
                <wp:effectExtent l="0" t="0" r="0" b="0"/>
                <wp:wrapNone/>
                <wp:docPr id="4" name="文本框"/>
                <wp:cNvGraphicFramePr>
                  <a:graphicFrameLocks noChangeAspect="0"/>
                </wp:cNvGraphicFramePr>
                <a:graphic>
                  <a:graphicData uri="http://schemas.microsoft.com/office/word/2010/wordprocessingShape">
                    <wps:wsp>
                      <wps:cNvSpPr/>
                      <wps:spPr>
                        <a:xfrm rot="0">
                          <a:off x="0" y="0"/>
                          <a:ext cx="2980055" cy="558800"/>
                        </a:xfrm>
                        <a:prstGeom prst="rect"/>
                        <a:solidFill>
                          <a:srgbClr val="FFFFFF"/>
                        </a:solidFill>
                        <a:ln w="9525" cmpd="sng" cap="flat">
                          <a:noFill/>
                          <a:prstDash val="solid"/>
                          <a:miter/>
                        </a:ln>
                      </wps:spPr>
                      <wps:txbx id="5">
                        <w:txbxContent>
                          <w:p>
                            <w:pPr>
                              <w:pStyle w:val="287"/>
                              <w:rPr>
                                <w:sz w:val="30"/>
                                <w:szCs w:val="30"/>
                                <w:u w:val="single"/>
                              </w:rPr>
                            </w:pPr>
                            <w:r>
                              <w:rPr>
                                <w:rFonts w:ascii="Times New Roman" w:eastAsia="方正仿宋_GBK" w:hAnsi="Times New Roman" w:hint="eastAsia"/>
                                <w:sz w:val="30"/>
                                <w:szCs w:val="30"/>
                                <w:u w:val="single"/>
                              </w:rPr>
                              <w:t>变卖所得价款</w:t>
                            </w:r>
                            <w:r>
                              <w:rPr>
                                <w:sz w:val="30"/>
                                <w:szCs w:val="30"/>
                                <w:u w:val="single"/>
                              </w:rPr>
                              <w:t>-</w:t>
                            </w:r>
                            <w:r>
                              <w:rPr>
                                <w:rFonts w:ascii="Times New Roman" w:eastAsia="方正仿宋_GBK" w:hAnsi="Times New Roman" w:hint="eastAsia"/>
                                <w:sz w:val="30"/>
                                <w:szCs w:val="30"/>
                                <w:u w:val="single"/>
                              </w:rPr>
                              <w:t>变卖费用</w:t>
                            </w:r>
                            <w:r>
                              <w:rPr>
                                <w:sz w:val="30"/>
                                <w:szCs w:val="30"/>
                                <w:u w:val="single"/>
                              </w:rPr>
                              <w:t>-</w:t>
                            </w:r>
                            <w:r>
                              <w:rPr>
                                <w:rFonts w:ascii="Times New Roman" w:eastAsia="方正仿宋_GBK" w:hAnsi="Times New Roman" w:hint="eastAsia"/>
                                <w:sz w:val="30"/>
                                <w:szCs w:val="30"/>
                                <w:u w:val="single"/>
                              </w:rPr>
                              <w:t>运输费</w:t>
                            </w:r>
                          </w:p>
                        </w:txbxContent>
                      </wps:txbx>
                      <wps:bodyPr vert="horz" wrap="square" lIns="91440" tIns="45720" rIns="91440" bIns="45720" anchor="t" anchorCtr="0" upright="1">
                        <a:noAutofit/>
                      </wps:bodyPr>
                    </wps:wsp>
                  </a:graphicData>
                </a:graphic>
              </wp:anchor>
            </w:drawing>
          </mc:Choice>
          <mc:Fallback>
            <w:pict>
              <v:shape type="#_x0000_t202" id="文本框 6" o:spid="_x0000_s6" fillcolor="#FFFFFF" stroked="f" style="position:absolute;margin-left:147.1pt;margin-top:3.2pt;width:234.65pt;height:44.0pt;z-index:14;mso-position-horizontal:absolute;mso-position-vertical:absolute;mso-wrap-distance-left:6.75pt;mso-wrap-distance-right:6.75pt;mso-wrap-style:square;">
                <v:stroke color="#000000"/>
                <v:textbox id="849" inset="2.54mm,1.27mm,2.54mm,1.27mm" o:insetmode="custom" style="layout-flow:horizontal;v-text-anchor:top;">
                  <w:txbxContent>
                    <w:p>
                      <w:pPr>
                        <w:pStyle w:val="287"/>
                        <w:rPr>
                          <w:sz w:val="30"/>
                          <w:szCs w:val="30"/>
                          <w:u w:val="single"/>
                        </w:rPr>
                      </w:pPr>
                      <w:r>
                        <w:rPr>
                          <w:rFonts w:ascii="Times New Roman" w:eastAsia="方正仿宋_GBK" w:hAnsi="Times New Roman" w:hint="eastAsia"/>
                          <w:sz w:val="30"/>
                          <w:szCs w:val="30"/>
                          <w:u w:val="single"/>
                        </w:rPr>
                        <w:t>变卖所得价款</w:t>
                      </w:r>
                      <w:r>
                        <w:rPr>
                          <w:sz w:val="30"/>
                          <w:szCs w:val="30"/>
                          <w:u w:val="single"/>
                        </w:rPr>
                        <w:t>-</w:t>
                      </w:r>
                      <w:r>
                        <w:rPr>
                          <w:rFonts w:ascii="Times New Roman" w:eastAsia="方正仿宋_GBK" w:hAnsi="Times New Roman" w:hint="eastAsia"/>
                          <w:sz w:val="30"/>
                          <w:szCs w:val="30"/>
                          <w:u w:val="single"/>
                        </w:rPr>
                        <w:t>变卖费用</w:t>
                      </w:r>
                      <w:r>
                        <w:rPr>
                          <w:sz w:val="30"/>
                          <w:szCs w:val="30"/>
                          <w:u w:val="single"/>
                        </w:rPr>
                        <w:t>-</w:t>
                      </w:r>
                      <w:r>
                        <w:rPr>
                          <w:rFonts w:ascii="Times New Roman" w:eastAsia="方正仿宋_GBK" w:hAnsi="Times New Roman" w:hint="eastAsia"/>
                          <w:sz w:val="30"/>
                          <w:szCs w:val="30"/>
                          <w:u w:val="single"/>
                        </w:rPr>
                        <w:t>运输费</w:t>
                      </w:r>
                    </w:p>
                  </w:txbxContent>
                </v:textbox>
              </v:shape>
            </w:pict>
          </mc:Fallback>
        </mc:AlternateContent>
      </w:r>
      <w:r>
        <w:rPr>
          <w:vanish w:val="0"/>
        </w:rPr>
        <mc:AlternateContent>
          <mc:Choice Requires="wps">
            <w:drawing>
              <wp:anchor distT="0" distB="0" distL="85725" distR="85725" simplePos="0" relativeHeight="15" behindDoc="0" locked="0" layoutInCell="1" hidden="0" allowOverlap="1">
                <wp:simplePos x="0" y="0"/>
                <wp:positionH relativeFrom="column">
                  <wp:posOffset>1772920</wp:posOffset>
                </wp:positionH>
                <wp:positionV relativeFrom="paragraph">
                  <wp:posOffset>463550</wp:posOffset>
                </wp:positionV>
                <wp:extent cx="3517899" cy="551814"/>
                <wp:effectExtent l="0" t="0" r="0" b="0"/>
                <wp:wrapNone/>
                <wp:docPr id="7" name="文本框"/>
                <wp:cNvGraphicFramePr>
                  <a:graphicFrameLocks noChangeAspect="0"/>
                </wp:cNvGraphicFramePr>
                <a:graphic>
                  <a:graphicData uri="http://schemas.microsoft.com/office/word/2010/wordprocessingShape">
                    <wps:wsp>
                      <wps:cNvSpPr/>
                      <wps:spPr>
                        <a:xfrm rot="0">
                          <a:off x="0" y="0"/>
                          <a:ext cx="3517899" cy="551814"/>
                        </a:xfrm>
                        <a:prstGeom prst="rect"/>
                        <a:solidFill>
                          <a:srgbClr val="FFFFFF"/>
                        </a:solidFill>
                        <a:ln w="9525" cmpd="sng" cap="flat">
                          <a:noFill/>
                          <a:prstDash val="solid"/>
                          <a:miter/>
                        </a:ln>
                      </wps:spPr>
                      <wps:txbx id="8">
                        <w:txbxContent>
                          <w:p>
                            <w:pPr>
                              <w:pStyle w:val="55"/>
                              <w:rPr>
                                <w:sz w:val="30"/>
                                <w:szCs w:val="30"/>
                                <w:u w:val="single"/>
                              </w:rPr>
                            </w:pPr>
                            <w:r>
                              <w:rPr>
                                <w:sz w:val="30"/>
                                <w:szCs w:val="30"/>
                                <w:u w:val="single"/>
                              </w:rPr>
                              <w:t>1+</w:t>
                            </w:r>
                            <w:r>
                              <w:rPr>
                                <w:rFonts w:ascii="Times New Roman" w:eastAsia="方正仿宋_GBK" w:hAnsi="Times New Roman" w:hint="eastAsia"/>
                                <w:sz w:val="30"/>
                                <w:szCs w:val="30"/>
                                <w:u w:val="single"/>
                              </w:rPr>
                              <w:t>关税率</w:t>
                            </w:r>
                            <w:r>
                              <w:rPr>
                                <w:sz w:val="30"/>
                                <w:szCs w:val="30"/>
                                <w:u w:val="single"/>
                              </w:rPr>
                              <w:t>+</w:t>
                            </w:r>
                            <w:r>
                              <w:rPr>
                                <w:rFonts w:ascii="Times New Roman" w:eastAsia="方正仿宋_GBK" w:hAnsi="Times New Roman" w:hint="eastAsia"/>
                                <w:sz w:val="30"/>
                                <w:szCs w:val="30"/>
                                <w:u w:val="single"/>
                              </w:rPr>
                              <w:t>增值税率</w:t>
                            </w:r>
                            <w:r>
                              <w:rPr>
                                <w:sz w:val="30"/>
                                <w:szCs w:val="30"/>
                                <w:u w:val="single"/>
                              </w:rPr>
                              <w:t>+</w:t>
                            </w:r>
                            <w:r>
                              <w:rPr>
                                <w:rFonts w:ascii="Times New Roman" w:eastAsia="方正仿宋_GBK" w:hAnsi="Times New Roman" w:hint="eastAsia"/>
                                <w:sz w:val="30"/>
                                <w:szCs w:val="30"/>
                                <w:u w:val="single"/>
                              </w:rPr>
                              <w:t>关税率</w:t>
                            </w:r>
                            <w:r>
                              <w:rPr>
                                <w:rFonts w:ascii="Times New Roman" w:eastAsia="宋体" w:hAnsi="Times New Roman" w:hint="eastAsia"/>
                                <w:sz w:val="30"/>
                                <w:szCs w:val="30"/>
                                <w:u w:val="single"/>
                              </w:rPr>
                              <w:t>×</w:t>
                            </w:r>
                            <w:r>
                              <w:rPr>
                                <w:rFonts w:ascii="Times New Roman" w:eastAsia="方正仿宋_GBK" w:hAnsi="Times New Roman" w:hint="eastAsia"/>
                                <w:sz w:val="30"/>
                                <w:szCs w:val="30"/>
                                <w:u w:val="single"/>
                              </w:rPr>
                              <w:t>增值税率</w:t>
                            </w:r>
                            <w:r>
                              <w:rPr>
                                <w:sz w:val="30"/>
                                <w:szCs w:val="30"/>
                                <w:u w:val="single"/>
                              </w:rPr>
                              <w:t xml:space="preserve">  </w:t>
                            </w:r>
                          </w:p>
                        </w:txbxContent>
                      </wps:txbx>
                      <wps:bodyPr vert="horz" wrap="square" lIns="91440" tIns="45720" rIns="91440" bIns="45720" anchor="t" anchorCtr="0" upright="1">
                        <a:noAutofit/>
                      </wps:bodyPr>
                    </wps:wsp>
                  </a:graphicData>
                </a:graphic>
              </wp:anchor>
            </w:drawing>
          </mc:Choice>
          <mc:Fallback>
            <w:pict>
              <v:shape type="#_x0000_t202" id="文本框 9" o:spid="_x0000_s9" fillcolor="#FFFFFF" stroked="f" style="position:absolute;margin-left:139.6pt;margin-top:36.5pt;width:276.99997pt;height:43.449997pt;z-index:15;mso-position-horizontal:absolute;mso-position-vertical:absolute;mso-wrap-distance-left:6.75pt;mso-wrap-distance-right:6.75pt;mso-wrap-style:square;">
                <v:stroke color="#000000"/>
                <v:textbox id="850" inset="2.54mm,1.27mm,2.54mm,1.27mm" o:insetmode="custom" style="layout-flow:horizontal;v-text-anchor:top;">
                  <w:txbxContent>
                    <w:p>
                      <w:pPr>
                        <w:pStyle w:val="55"/>
                        <w:rPr>
                          <w:sz w:val="30"/>
                          <w:szCs w:val="30"/>
                          <w:u w:val="single"/>
                        </w:rPr>
                      </w:pPr>
                      <w:r>
                        <w:rPr>
                          <w:sz w:val="30"/>
                          <w:szCs w:val="30"/>
                          <w:u w:val="single"/>
                        </w:rPr>
                        <w:t>1+</w:t>
                      </w:r>
                      <w:r>
                        <w:rPr>
                          <w:rFonts w:ascii="Times New Roman" w:eastAsia="方正仿宋_GBK" w:hAnsi="Times New Roman" w:hint="eastAsia"/>
                          <w:sz w:val="30"/>
                          <w:szCs w:val="30"/>
                          <w:u w:val="single"/>
                        </w:rPr>
                        <w:t>关税率</w:t>
                      </w:r>
                      <w:r>
                        <w:rPr>
                          <w:sz w:val="30"/>
                          <w:szCs w:val="30"/>
                          <w:u w:val="single"/>
                        </w:rPr>
                        <w:t>+</w:t>
                      </w:r>
                      <w:r>
                        <w:rPr>
                          <w:rFonts w:ascii="Times New Roman" w:eastAsia="方正仿宋_GBK" w:hAnsi="Times New Roman" w:hint="eastAsia"/>
                          <w:sz w:val="30"/>
                          <w:szCs w:val="30"/>
                          <w:u w:val="single"/>
                        </w:rPr>
                        <w:t>增值税率</w:t>
                      </w:r>
                      <w:r>
                        <w:rPr>
                          <w:sz w:val="30"/>
                          <w:szCs w:val="30"/>
                          <w:u w:val="single"/>
                        </w:rPr>
                        <w:t>+</w:t>
                      </w:r>
                      <w:r>
                        <w:rPr>
                          <w:rFonts w:ascii="Times New Roman" w:eastAsia="方正仿宋_GBK" w:hAnsi="Times New Roman" w:hint="eastAsia"/>
                          <w:sz w:val="30"/>
                          <w:szCs w:val="30"/>
                          <w:u w:val="single"/>
                        </w:rPr>
                        <w:t>关税率</w:t>
                      </w:r>
                      <w:r>
                        <w:rPr>
                          <w:rFonts w:ascii="Times New Roman" w:eastAsia="宋体" w:hAnsi="Times New Roman" w:hint="eastAsia"/>
                          <w:sz w:val="30"/>
                          <w:szCs w:val="30"/>
                          <w:u w:val="single"/>
                        </w:rPr>
                        <w:t>×</w:t>
                      </w:r>
                      <w:r>
                        <w:rPr>
                          <w:rFonts w:ascii="Times New Roman" w:eastAsia="方正仿宋_GBK" w:hAnsi="Times New Roman" w:hint="eastAsia"/>
                          <w:sz w:val="30"/>
                          <w:szCs w:val="30"/>
                          <w:u w:val="single"/>
                        </w:rPr>
                        <w:t>增值税率</w:t>
                      </w:r>
                      <w:r>
                        <w:rPr>
                          <w:sz w:val="30"/>
                          <w:szCs w:val="30"/>
                          <w:u w:val="single"/>
                        </w:rPr>
                        <w:t xml:space="preserve">  </w:t>
                      </w:r>
                    </w:p>
                  </w:txbxContent>
                </v:textbox>
              </v:shape>
            </w:pict>
          </mc:Fallback>
        </mc:AlternateContent>
      </w:r>
      <w:r>
        <w:rPr>
          <w:vanish w:val="0"/>
        </w:rPr>
        <mc:AlternateContent>
          <mc:Choice Requires="wps">
            <w:drawing>
              <wp:anchor distT="0" distB="0" distL="85725" distR="85725" simplePos="0" relativeHeight="16" behindDoc="0" locked="0" layoutInCell="1" hidden="0" allowOverlap="1">
                <wp:simplePos x="0" y="0"/>
                <wp:positionH relativeFrom="column">
                  <wp:posOffset>2592070</wp:posOffset>
                </wp:positionH>
                <wp:positionV relativeFrom="paragraph">
                  <wp:posOffset>897889</wp:posOffset>
                </wp:positionV>
                <wp:extent cx="1202690" cy="551815"/>
                <wp:effectExtent l="0" t="0" r="0" b="0"/>
                <wp:wrapNone/>
                <wp:docPr id="10" name="文本框"/>
                <wp:cNvGraphicFramePr>
                  <a:graphicFrameLocks noChangeAspect="0"/>
                </wp:cNvGraphicFramePr>
                <a:graphic>
                  <a:graphicData uri="http://schemas.microsoft.com/office/word/2010/wordprocessingShape">
                    <wps:wsp>
                      <wps:cNvSpPr/>
                      <wps:spPr>
                        <a:xfrm rot="0">
                          <a:off x="0" y="0"/>
                          <a:ext cx="1202690" cy="551815"/>
                        </a:xfrm>
                        <a:prstGeom prst="rect"/>
                        <a:solidFill>
                          <a:srgbClr val="FFFFFF"/>
                        </a:solidFill>
                        <a:ln w="9525" cmpd="sng" cap="flat">
                          <a:noFill/>
                          <a:prstDash val="solid"/>
                          <a:miter/>
                        </a:ln>
                      </wps:spPr>
                      <wps:txbx id="11">
                        <w:txbxContent>
                          <w:p>
                            <w:pPr>
                              <w:pStyle w:val="56"/>
                              <w:rPr>
                                <w:sz w:val="30"/>
                                <w:szCs w:val="30"/>
                              </w:rPr>
                            </w:pPr>
                            <w:r>
                              <w:rPr>
                                <w:sz w:val="30"/>
                                <w:szCs w:val="30"/>
                              </w:rPr>
                              <w:t>1-</w:t>
                            </w:r>
                            <w:r>
                              <w:rPr>
                                <w:rFonts w:ascii="Times New Roman" w:eastAsia="方正仿宋_GBK" w:hAnsi="Times New Roman" w:hint="eastAsia"/>
                                <w:sz w:val="30"/>
                                <w:szCs w:val="30"/>
                              </w:rPr>
                              <w:t>消费税率</w:t>
                            </w:r>
                          </w:p>
                        </w:txbxContent>
                      </wps:txbx>
                      <wps:bodyPr vert="horz" wrap="square" lIns="91440" tIns="45720" rIns="91440" bIns="45720" anchor="t" anchorCtr="0" upright="1">
                        <a:noAutofit/>
                      </wps:bodyPr>
                    </wps:wsp>
                  </a:graphicData>
                </a:graphic>
              </wp:anchor>
            </w:drawing>
          </mc:Choice>
          <mc:Fallback>
            <w:pict>
              <v:shape type="#_x0000_t202" id="文本框 12" o:spid="_x0000_s12" fillcolor="#FFFFFF" stroked="f" style="position:absolute;margin-left:204.1pt;margin-top:70.7pt;width:94.700005pt;height:43.450005pt;z-index:16;mso-position-horizontal:absolute;mso-position-vertical:absolute;mso-wrap-distance-left:6.75pt;mso-wrap-distance-right:6.75pt;mso-wrap-style:square;">
                <v:stroke color="#000000"/>
                <v:textbox id="851" inset="2.54mm,1.27mm,2.54mm,1.27mm" o:insetmode="custom" style="layout-flow:horizontal;v-text-anchor:top;">
                  <w:txbxContent>
                    <w:p>
                      <w:pPr>
                        <w:pStyle w:val="56"/>
                        <w:rPr>
                          <w:sz w:val="30"/>
                          <w:szCs w:val="30"/>
                        </w:rPr>
                      </w:pPr>
                      <w:r>
                        <w:rPr>
                          <w:sz w:val="30"/>
                          <w:szCs w:val="30"/>
                        </w:rPr>
                        <w:t>1-</w:t>
                      </w:r>
                      <w:r>
                        <w:rPr>
                          <w:rFonts w:ascii="Times New Roman" w:eastAsia="方正仿宋_GBK" w:hAnsi="Times New Roman" w:hint="eastAsia"/>
                          <w:sz w:val="30"/>
                          <w:szCs w:val="30"/>
                        </w:rPr>
                        <w:t>消费税率</w:t>
                      </w:r>
                    </w:p>
                  </w:txbxContent>
                </v:textbox>
              </v:shape>
            </w:pict>
          </mc:Fallback>
        </mc:AlternateConten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实行从量、复合或者其他方式计征税款的货物，按照有关征税的规定计算和扣除税款。</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按照本条第一款规定扣除相关费用和税款后，尚有余款的，自货物依法变卖之日起一年内，经进口货物收货人申请，予以发还。其中属于国家限制进口的，应当提交许可证件而不能提供的，不予发还；不符合进口货物收货人资格、不能证明对进口货物享有权利的，申请不予受理。逾期无进口货物收货人申请、申请不予受理或者不予发还的，余款上缴国库。</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第八条</w:t>
      </w:r>
      <w:r>
        <w:rPr>
          <w:rFonts w:ascii="方正仿宋_GBK" w:eastAsia="方正仿宋_GBK" w:cs="宋体" w:hint="eastAsia"/>
          <w:b/>
          <w:bCs w:val="0"/>
          <w:vanish w:val="0"/>
          <w:sz w:val="32"/>
          <w:szCs w:val="32"/>
        </w:rPr>
        <w:t xml:space="preserve"> </w:t>
      </w:r>
      <w:r>
        <w:rPr>
          <w:rFonts w:ascii="方正仿宋_GBK" w:eastAsia="方正仿宋_GBK" w:cs="宋体" w:hint="eastAsia"/>
          <w:vanish w:val="0"/>
          <w:sz w:val="32"/>
          <w:szCs w:val="32"/>
        </w:rPr>
        <w:t>按照本办法第四条规定由海关提取依法变卖处理的放弃进口货物的所得价款，优先拨付变卖处理实际支出的费用后，再扣除运输、装卸、储存等费用。</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所得价款不足以支付上述运输、装卸、储存等费用的，按比例支付。</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仿宋_GBK" w:eastAsia="方正仿宋_GBK" w:cs="宋体" w:hint="eastAsia"/>
          <w:vanish w:val="0"/>
          <w:sz w:val="32"/>
          <w:szCs w:val="32"/>
        </w:rPr>
        <w:t>按照本条第一款规定扣除相关费用后尚有余款的，上缴国库。</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第九条 </w:t>
      </w:r>
      <w:r>
        <w:rPr>
          <w:rFonts w:ascii="方正仿宋_GBK" w:eastAsia="方正仿宋_GBK" w:cs="宋体" w:hint="eastAsia"/>
          <w:vanish w:val="0"/>
          <w:sz w:val="32"/>
          <w:szCs w:val="32"/>
        </w:rPr>
        <w:t>按照本办法第七条规定申请发还余款的，申请人应当提供证明其为该进口货物收货人的相关资料。经海关审核同意后，申请人应当按照海关对进口货物的申报规定，取得有关进口许可证件，凭有关单证补办进口申报手续。海关对有关进口许可证件电子数据进行系统自动比对验核。申报时没有有效进口许可证件的，由海关按照《中华人民共和国海关行政处罚实施条例》的规定处理。</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第十条 </w:t>
      </w:r>
      <w:r>
        <w:rPr>
          <w:rFonts w:ascii="方正仿宋_GBK" w:eastAsia="方正仿宋_GBK" w:cs="宋体" w:hint="eastAsia"/>
          <w:vanish w:val="0"/>
          <w:sz w:val="32"/>
          <w:szCs w:val="32"/>
        </w:rPr>
        <w:t>进口货物的收货人自运输工具申报进境之日起三个月后、海关决定提取依法变卖处理前申请退运或者进口超期未报进口货物的，应当经海关审核同意，并按照有关规定向海关申报。申报进口的，应当按照《</w:t>
      </w:r>
      <w:r>
        <w:rPr>
          <w:rStyle w:val="167"/>
          <w:rFonts w:ascii="方正仿宋_GBK" w:eastAsia="方正仿宋_GBK" w:cs="宋体" w:hint="eastAsia"/>
          <w:strike w:val="0"/>
          <w:dstrike w:val="0"/>
          <w:vanish w:val="0"/>
          <w:color w:val="auto"/>
          <w:sz w:val="32"/>
          <w:szCs w:val="32"/>
          <w:u w:val="none"/>
        </w:rPr>
        <w:fldChar w:fldCharType="begin"/>
      </w:r>
      <w:r>
        <w:instrText>HYPERLINK "http://10.99.105.167:8266/chl/315239.html"</w:instrText>
      </w:r>
      <w:r>
        <w:rPr>
          <w:rStyle w:val="167"/>
          <w:rFonts w:ascii="方正仿宋_GBK" w:eastAsia="方正仿宋_GBK" w:cs="宋体" w:hint="eastAsia"/>
          <w:strike w:val="0"/>
          <w:dstrike w:val="0"/>
          <w:vanish w:val="0"/>
          <w:color w:val="auto"/>
          <w:sz w:val="32"/>
          <w:szCs w:val="32"/>
          <w:u w:val="none"/>
        </w:rPr>
        <w:fldChar w:fldCharType="separate"/>
      </w:r>
      <w:r>
        <w:rPr>
          <w:rStyle w:val="167"/>
          <w:rFonts w:ascii="方正仿宋_GBK" w:eastAsia="方正仿宋_GBK" w:cs="宋体" w:hint="eastAsia"/>
          <w:strike w:val="0"/>
          <w:dstrike w:val="0"/>
          <w:vanish w:val="0"/>
          <w:color w:val="auto"/>
          <w:sz w:val="32"/>
          <w:szCs w:val="32"/>
          <w:u w:val="none"/>
        </w:rPr>
        <w:t>中华人民共和国海关征收进口货物滞报金办法</w:t>
      </w:r>
      <w:r>
        <w:rPr>
          <w:rStyle w:val="167"/>
          <w:rFonts w:ascii="方正仿宋_GBK" w:eastAsia="方正仿宋_GBK" w:cs="宋体" w:hint="eastAsia"/>
          <w:strike w:val="0"/>
          <w:dstrike w:val="0"/>
          <w:vanish w:val="0"/>
          <w:color w:val="auto"/>
          <w:sz w:val="32"/>
          <w:szCs w:val="32"/>
          <w:u w:val="none"/>
        </w:rPr>
        <w:fldChar w:fldCharType="end"/>
      </w:r>
      <w:r>
        <w:rPr>
          <w:rFonts w:ascii="方正仿宋_GBK" w:eastAsia="方正仿宋_GBK" w:cs="宋体" w:hint="eastAsia"/>
          <w:vanish w:val="0"/>
          <w:sz w:val="32"/>
          <w:szCs w:val="32"/>
        </w:rPr>
        <w:t>》的规定，缴纳滞报金（滞报期间的计算，自运输工具申报进境之日的</w:t>
      </w:r>
      <w:r>
        <w:rPr>
          <w:rFonts w:ascii="Times New Roman" w:eastAsia="方正仿宋_GBK" w:hAnsi="Times New Roman" w:hint="eastAsia"/>
          <w:vanish w:val="0"/>
          <w:sz w:val="32"/>
          <w:szCs w:val="32"/>
        </w:rPr>
        <w:t>第</w:t>
      </w:r>
      <w:r>
        <w:rPr>
          <w:rFonts w:eastAsia="方正仿宋_GBK"/>
          <w:vanish w:val="0"/>
          <w:sz w:val="32"/>
          <w:szCs w:val="32"/>
        </w:rPr>
        <w:t>15</w:t>
      </w:r>
      <w:r>
        <w:rPr>
          <w:rFonts w:ascii="Times New Roman" w:eastAsia="方正仿宋_GBK" w:hAnsi="Times New Roman" w:hint="eastAsia"/>
          <w:vanish w:val="0"/>
          <w:sz w:val="32"/>
          <w:szCs w:val="32"/>
        </w:rPr>
        <w:t>日起至</w:t>
      </w:r>
      <w:r>
        <w:rPr>
          <w:rFonts w:ascii="方正仿宋_GBK" w:eastAsia="方正仿宋_GBK" w:cs="宋体" w:hint="eastAsia"/>
          <w:vanish w:val="0"/>
          <w:sz w:val="32"/>
          <w:szCs w:val="32"/>
        </w:rPr>
        <w:t>货物申报进口之日止）。</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第十一条</w:t>
      </w:r>
      <w:r>
        <w:rPr>
          <w:rFonts w:ascii="方正仿宋_GBK" w:eastAsia="方正仿宋_GBK" w:cs="宋体" w:hint="eastAsia"/>
          <w:b/>
          <w:bCs w:val="0"/>
          <w:vanish w:val="0"/>
          <w:sz w:val="32"/>
          <w:szCs w:val="32"/>
        </w:rPr>
        <w:t xml:space="preserve"> </w:t>
      </w:r>
      <w:r>
        <w:rPr>
          <w:rFonts w:ascii="方正仿宋_GBK" w:eastAsia="方正仿宋_GBK" w:cs="宋体" w:hint="eastAsia"/>
          <w:vanish w:val="0"/>
          <w:sz w:val="32"/>
          <w:szCs w:val="32"/>
        </w:rPr>
        <w:t>本办法第二条、第三条、第五条所列货物属于危险品或者鲜活、易腐、易烂、易失效、易变质、易贬值等不宜长期保存的货物的，海关可以根据实际情况，提前提取依法变卖处理。所得价款按照本办法第七条、第九条的规定办理。</w:t>
      </w:r>
    </w:p>
    <w:p>
      <w:pPr>
        <w:pStyle w:val="68"/>
        <w:pBdr>
          <w:top w:val="none" w:sz="0" w:space="0" w:color="auto"/>
          <w:left w:val="none" w:sz="0" w:space="0" w:color="auto"/>
          <w:bottom w:val="none" w:sz="0" w:space="0" w:color="auto"/>
          <w:right w:val="none" w:sz="0" w:space="0" w:color="auto"/>
        </w:pBdr>
        <w:kinsoku/>
        <w:wordWrap/>
        <w:overflowPunct/>
        <w:topLinePunct w:val="0"/>
        <w:autoSpaceDE/>
        <w:autoSpaceDN/>
        <w:spacing w:line="560" w:lineRule="exact"/>
        <w:ind w:firstLineChars="200" w:firstLine="640"/>
        <w:jc w:val="both"/>
        <w:rPr>
          <w:rFonts w:ascii="方正仿宋_GBK" w:eastAsia="方正仿宋_GBK" w:hint="eastAsia"/>
          <w:vanish w:val="0"/>
          <w:sz w:val="32"/>
          <w:szCs w:val="32"/>
        </w:rPr>
      </w:pPr>
      <w:r>
        <w:rPr>
          <w:rFonts w:ascii="方正黑体_GBK" w:eastAsia="方正黑体_GBK" w:cs="宋体" w:hint="eastAsia"/>
          <w:vanish w:val="0"/>
          <w:sz w:val="32"/>
          <w:szCs w:val="32"/>
        </w:rPr>
        <w:t xml:space="preserve">第十二条 </w:t>
      </w:r>
      <w:r>
        <w:rPr>
          <w:rFonts w:ascii="方正仿宋_GBK" w:eastAsia="方正仿宋_GBK" w:cs="宋体" w:hint="eastAsia"/>
          <w:vanish w:val="0"/>
          <w:sz w:val="32"/>
          <w:szCs w:val="32"/>
        </w:rPr>
        <w:t>“进口货物收货人”，指经对外经济贸易主管部门登记或者核准有货物进口经营资格，并</w:t>
      </w:r>
      <w:r>
        <w:rPr>
          <w:rFonts w:ascii="方正仿宋_GBK" w:eastAsia="方正仿宋_GBK" w:hint="eastAsia"/>
          <w:vanish w:val="0"/>
          <w:sz w:val="32"/>
          <w:szCs w:val="32"/>
        </w:rPr>
        <w:t>向海关办理报关单位备案</w:t>
      </w:r>
      <w:r>
        <w:rPr>
          <w:rFonts w:ascii="方正仿宋_GBK" w:eastAsia="方正仿宋_GBK" w:cs="宋体" w:hint="eastAsia"/>
          <w:vanish w:val="0"/>
          <w:sz w:val="32"/>
          <w:szCs w:val="32"/>
        </w:rPr>
        <w:t>的中华人民共和国关境内法人、其他组织或者个人。</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 xml:space="preserve">第十三条 </w:t>
      </w:r>
      <w:r>
        <w:rPr>
          <w:rFonts w:ascii="方正仿宋_GBK" w:eastAsia="方正仿宋_GBK" w:cs="宋体" w:hint="eastAsia"/>
          <w:vanish w:val="0"/>
          <w:sz w:val="32"/>
          <w:szCs w:val="32"/>
        </w:rPr>
        <w:t>进出境物品所有人声明放弃的物品，在海关规定期限内未办理海关手续或者无人认领的物品，以及无法投递又无法退回的进境邮递物品，由海关按照本办法第二条、第四条等有关规定处理。</w:t>
      </w:r>
    </w:p>
    <w:p>
      <w:pPr>
        <w:pStyle w:val="68"/>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jc w:val="both"/>
        <w:rPr>
          <w:rFonts w:ascii="方正仿宋_GBK" w:eastAsia="方正仿宋_GBK" w:cs="宋体" w:hint="eastAsia"/>
          <w:vanish w:val="0"/>
          <w:sz w:val="32"/>
          <w:szCs w:val="32"/>
        </w:rPr>
      </w:pPr>
      <w:r>
        <w:rPr>
          <w:rFonts w:ascii="方正黑体_GBK" w:eastAsia="方正黑体_GBK" w:cs="宋体" w:hint="eastAsia"/>
          <w:vanish w:val="0"/>
          <w:sz w:val="32"/>
          <w:szCs w:val="32"/>
        </w:rPr>
        <w:t>第十四条</w:t>
      </w:r>
      <w:r>
        <w:rPr>
          <w:rFonts w:ascii="方正仿宋_GBK" w:eastAsia="方正仿宋_GBK" w:cs="宋体" w:hint="eastAsia"/>
          <w:b/>
          <w:bCs w:val="0"/>
          <w:vanish w:val="0"/>
          <w:sz w:val="32"/>
          <w:szCs w:val="32"/>
        </w:rPr>
        <w:t xml:space="preserve"> </w:t>
      </w:r>
      <w:r>
        <w:rPr>
          <w:rFonts w:ascii="方正仿宋_GBK" w:eastAsia="方正仿宋_GBK" w:cs="宋体" w:hint="eastAsia"/>
          <w:vanish w:val="0"/>
          <w:sz w:val="32"/>
          <w:szCs w:val="32"/>
        </w:rPr>
        <w:t>本办法由海关总署解释。</w:t>
      </w:r>
    </w:p>
    <w:p>
      <w:pPr>
        <w:pStyle w:val="45"/>
        <w:pBdr>
          <w:top w:val="none" w:sz="0" w:space="0" w:color="auto"/>
          <w:left w:val="none" w:sz="0" w:space="0" w:color="auto"/>
          <w:bottom w:val="none" w:sz="0" w:space="0" w:color="auto"/>
          <w:right w:val="none" w:sz="0" w:space="0" w:color="auto"/>
        </w:pBdr>
        <w:spacing w:line="560" w:lineRule="exact"/>
        <w:ind w:firstLineChars="200" w:firstLine="640"/>
        <w:rPr>
          <w:rFonts w:ascii="宋体" w:eastAsia="宋体" w:cs="楷体_GB2312" w:hint="eastAsia"/>
          <w:vanish w:val="0"/>
          <w:color w:val="333333"/>
          <w:sz w:val="44"/>
          <w:szCs w:val="44"/>
          <w:shd w:val="clear" w:color="auto" w:fill="FFFFFF"/>
        </w:rPr>
      </w:pPr>
      <w:r>
        <w:rPr>
          <w:rFonts w:ascii="方正黑体_GBK" w:eastAsia="方正黑体_GBK" w:cs="宋体" w:hint="eastAsia"/>
          <w:vanish w:val="0"/>
          <w:szCs w:val="32"/>
        </w:rPr>
        <w:t>第十五条</w:t>
      </w:r>
      <w:r>
        <w:rPr>
          <w:rFonts w:ascii="方正仿宋_GBK" w:eastAsia="方正仿宋_GBK" w:cs="宋体" w:hint="eastAsia"/>
          <w:b/>
          <w:bCs w:val="0"/>
          <w:vanish w:val="0"/>
          <w:szCs w:val="32"/>
        </w:rPr>
        <w:t xml:space="preserve"> </w:t>
      </w:r>
      <w:r>
        <w:rPr>
          <w:rFonts w:ascii="方正仿宋_GBK" w:eastAsia="方正仿宋_GBK" w:cs="宋体" w:hint="eastAsia"/>
          <w:vanish w:val="0"/>
          <w:szCs w:val="32"/>
        </w:rPr>
        <w:t>本办法自</w:t>
      </w:r>
      <w:r>
        <w:rPr>
          <w:vanish w:val="0"/>
          <w:szCs w:val="32"/>
        </w:rPr>
        <w:t>2001</w:t>
      </w:r>
      <w:r>
        <w:rPr>
          <w:rFonts w:ascii="Times New Roman" w:eastAsia="方正仿宋_GBK" w:hAnsi="Times New Roman" w:hint="eastAsia"/>
          <w:vanish w:val="0"/>
          <w:szCs w:val="32"/>
        </w:rPr>
        <w:t>年</w:t>
      </w:r>
      <w:r>
        <w:rPr>
          <w:vanish w:val="0"/>
          <w:szCs w:val="32"/>
        </w:rPr>
        <w:t>12</w:t>
      </w:r>
      <w:r>
        <w:rPr>
          <w:rFonts w:ascii="Times New Roman" w:eastAsia="方正仿宋_GBK" w:hAnsi="Times New Roman" w:hint="eastAsia"/>
          <w:vanish w:val="0"/>
          <w:szCs w:val="32"/>
        </w:rPr>
        <w:t>月</w:t>
      </w:r>
      <w:r>
        <w:rPr>
          <w:vanish w:val="0"/>
          <w:szCs w:val="32"/>
        </w:rPr>
        <w:t>20</w:t>
      </w:r>
      <w:r>
        <w:rPr>
          <w:rFonts w:ascii="方正仿宋_GBK" w:eastAsia="方正仿宋_GBK" w:cs="宋体" w:hint="eastAsia"/>
          <w:vanish w:val="0"/>
          <w:szCs w:val="32"/>
        </w:rPr>
        <w:t>日起实施。</w:t>
      </w:r>
    </w:p>
    <w:p>
      <w:pPr>
        <w:pStyle w:val="42"/>
        <w:spacing w:line="560" w:lineRule="exact"/>
        <w:rPr>
          <w:rFonts w:ascii="方正黑体_GBK" w:eastAsia="方正黑体_GBK" w:hint="eastAsia"/>
        </w:rPr>
      </w:pPr>
      <w:bookmarkEnd w:id="0"/>
    </w:p>
    <w:sectPr>
      <w:pgSz w:w="11907" w:h="16840"/>
      <w:pgMar w:top="2041" w:right="1474" w:bottom="2041" w:left="1474"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979</TotalTime>
  <Application>Yozo_Office</Application>
  <Pages>5</Pages>
  <Words>2099</Words>
  <Characters>2105</Characters>
  <Lines>100</Lines>
  <Paragraphs>30</Paragraphs>
  <CharactersWithSpaces>2121</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2024-10-28T01:53:33Z</dcterms:modified>
</cp:coreProperties>
</file>