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8"/>
        <w:ind w:firstLineChars="0" w:firstLine="0"/>
        <w:rPr>
          <w:rFonts w:ascii="Times New Roman" w:cs="宋体" w:hAnsi="Times New Roman"/>
          <w:szCs w:val="32"/>
        </w:rPr>
      </w:pPr>
      <w:bookmarkStart w:id="0" w:name="wpds__正文__File"/>
      <w:bookmarkStart w:id="1" w:name="_Toc83218858"/>
      <w:bookmarkStart w:id="2" w:name="_GoBack"/>
      <w:bookmarkEnd w:id="2"/>
      <w:r>
        <w:rPr>
          <w:rFonts w:ascii="Times New Roman" w:eastAsia="方正黑体_GBK" w:cs="宋体" w:hAnsi="Times New Roman" w:hint="eastAsia"/>
          <w:vanish w:val="0"/>
          <w:kern w:val="0"/>
          <w:sz w:val="32"/>
          <w:szCs w:val="32"/>
        </w:rPr>
        <w:t>附件</w:t>
      </w:r>
      <w:r>
        <w:rPr>
          <w:rFonts w:ascii="方正黑体_GBK" w:eastAsia="方正黑体_GBK" w:cs="宋体" w:hint="eastAsia"/>
          <w:vanish w:val="0"/>
          <w:kern w:val="0"/>
          <w:sz w:val="32"/>
          <w:szCs w:val="32"/>
        </w:rPr>
        <w:t>4</w:t>
      </w:r>
    </w:p>
    <w:p>
      <w:pPr>
        <w:pStyle w:val="173"/>
        <w:pBdr>
          <w:top w:val="none" w:sz="0" w:space="0" w:color="auto"/>
          <w:left w:val="none" w:sz="0" w:space="0" w:color="auto"/>
          <w:bottom w:val="none" w:sz="0" w:space="0" w:color="auto"/>
          <w:right w:val="none" w:sz="0" w:space="0" w:color="auto"/>
        </w:pBdr>
        <w:spacing w:line="560" w:lineRule="exact"/>
        <w:jc w:val="center"/>
        <w:rPr>
          <w:rStyle w:val="174"/>
          <w:rFonts w:ascii="Times New Roman" w:hAnsi="Times New Roman"/>
          <w:b w:val="0"/>
          <w:bCs/>
          <w:vanish w:val="0"/>
          <w:sz w:val="44"/>
          <w:szCs w:val="44"/>
        </w:rPr>
      </w:pPr>
    </w:p>
    <w:p>
      <w:pPr>
        <w:pStyle w:val="173"/>
        <w:pBdr>
          <w:top w:val="none" w:sz="0" w:space="0" w:color="auto"/>
          <w:left w:val="none" w:sz="0" w:space="0" w:color="auto"/>
          <w:bottom w:val="none" w:sz="0" w:space="0" w:color="auto"/>
          <w:right w:val="none" w:sz="0" w:space="0" w:color="auto"/>
        </w:pBdr>
        <w:spacing w:line="560" w:lineRule="exact"/>
        <w:jc w:val="center"/>
        <w:outlineLvl w:val="0"/>
        <w:rPr>
          <w:rFonts w:eastAsia="方正小标宋_GBK"/>
          <w:bCs/>
          <w:vanish w:val="0"/>
          <w:kern w:val="44"/>
          <w:sz w:val="44"/>
          <w:szCs w:val="44"/>
        </w:rPr>
      </w:pPr>
      <w:bookmarkStart w:id="3" w:name="_Toc82338288"/>
      <w:r>
        <w:rPr>
          <w:rStyle w:val="174"/>
          <w:rFonts w:ascii="Times New Roman" w:eastAsia="方正小标宋_GBK" w:hAnsi="Times New Roman" w:hint="eastAsia"/>
          <w:b w:val="0"/>
          <w:bCs/>
          <w:vanish w:val="0"/>
          <w:sz w:val="44"/>
          <w:szCs w:val="44"/>
        </w:rPr>
        <w:t>中华人民共和国海关对进出境快件监管办法</w:t>
      </w:r>
      <w:bookmarkEnd w:id="1"/>
      <w:bookmarkEnd w:id="3"/>
    </w:p>
    <w:p>
      <w:pPr>
        <w:pStyle w:val="173"/>
        <w:pBdr>
          <w:top w:val="none" w:sz="0" w:space="0" w:color="auto"/>
          <w:left w:val="none" w:sz="0" w:space="0" w:color="auto"/>
          <w:bottom w:val="none" w:sz="0" w:space="0" w:color="auto"/>
          <w:right w:val="none" w:sz="0" w:space="0" w:color="auto"/>
        </w:pBdr>
        <w:spacing w:line="560" w:lineRule="exact"/>
        <w:rPr>
          <w:rFonts w:eastAsia="楷体"/>
          <w:vanish w:val="0"/>
          <w:sz w:val="32"/>
          <w:szCs w:val="32"/>
        </w:rPr>
      </w:pPr>
      <w:r>
        <w:rPr>
          <w:rFonts w:eastAsia="仿宋"/>
          <w:vanish w:val="0"/>
          <w:sz w:val="32"/>
          <w:szCs w:val="32"/>
        </w:rPr>
        <w:tab/>
      </w: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r>
        <w:rPr>
          <w:rFonts w:ascii="Times New Roman" w:eastAsia="方正黑体_GBK" w:hAnsi="Times New Roman" w:hint="eastAsia"/>
          <w:vanish w:val="0"/>
          <w:sz w:val="32"/>
          <w:szCs w:val="21"/>
        </w:rPr>
        <w:t>第一章</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总</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则</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第一条</w:t>
      </w:r>
      <w:r>
        <w:rPr>
          <w:rFonts w:ascii="Times New Roman" w:eastAsia="方正仿宋_GBK" w:cs="Arial Unicode MS" w:hAnsi="Times New Roman"/>
          <w:vanish w:val="0"/>
          <w:sz w:val="32"/>
          <w:szCs w:val="21"/>
        </w:rPr>
        <w:t xml:space="preserve">  </w:t>
      </w:r>
      <w:r>
        <w:rPr>
          <w:rFonts w:ascii="Times New Roman" w:eastAsia="方正仿宋_GBK" w:hAnsi="Times New Roman" w:hint="eastAsia"/>
          <w:vanish w:val="0"/>
          <w:sz w:val="32"/>
          <w:szCs w:val="21"/>
        </w:rPr>
        <w:t>为加强海关对进出境快件的监管，便利进出境快件通关，根据《中华人民共和国海关法》及其他有关法律、行政法规，制定本办法。</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第二条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本办法所称进出境快件是指进出境快件运营人以向客户承诺的快速商业运作方式承揽、承运的进出境货物、物品。</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第三条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本办法所称进出境快件运营人（以下简称运营人）是指在中华人民共和国境内依法注册，在海关登记备案的从事进出境快件运营业务的国际货物运输代理企业。</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第四条</w:t>
      </w:r>
      <w:r>
        <w:rPr>
          <w:rFonts w:ascii="Times New Roman" w:eastAsia="方正仿宋_GBK" w:cs="Arial Unicode MS" w:hAnsi="Times New Roman"/>
          <w:vanish w:val="0"/>
          <w:sz w:val="32"/>
          <w:szCs w:val="21"/>
        </w:rPr>
        <w:t xml:space="preserve">  </w:t>
      </w:r>
      <w:r>
        <w:rPr>
          <w:rFonts w:ascii="Times New Roman" w:eastAsia="方正仿宋_GBK" w:hAnsi="Times New Roman" w:hint="eastAsia"/>
          <w:vanish w:val="0"/>
          <w:sz w:val="32"/>
          <w:szCs w:val="21"/>
        </w:rPr>
        <w:t>运营人不得承揽、承运《中华人民共和国禁止进出境物品表》所列物品，如有发现，不得擅作处理，应当立即通知海关并协助海关进行处理。</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未经中华人民共和国邮政部门批准，运营人不得承揽、承运私人信件。</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第五条</w:t>
      </w:r>
      <w:r>
        <w:rPr>
          <w:rFonts w:ascii="Times New Roman" w:eastAsia="方正仿宋_GBK" w:cs="Arial Unicode MS" w:hAnsi="Times New Roman"/>
          <w:vanish w:val="0"/>
          <w:sz w:val="32"/>
          <w:szCs w:val="21"/>
        </w:rPr>
        <w:t xml:space="preserve">  </w:t>
      </w:r>
      <w:r>
        <w:rPr>
          <w:rFonts w:ascii="Times New Roman" w:eastAsia="方正仿宋_GBK" w:hAnsi="Times New Roman" w:hint="eastAsia"/>
          <w:vanish w:val="0"/>
          <w:sz w:val="32"/>
          <w:szCs w:val="21"/>
        </w:rPr>
        <w:t>运营人不得以任何形式出租、出借、转让本企业的进出境快件报关权，不得代理非本企业承揽、承运的货物、物品的报关。</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第六条</w:t>
      </w:r>
      <w:r>
        <w:rPr>
          <w:rFonts w:ascii="Times New Roman" w:eastAsia="方正仿宋_GBK" w:cs="Arial Unicode MS" w:hAnsi="Times New Roman"/>
          <w:vanish w:val="0"/>
          <w:sz w:val="32"/>
          <w:szCs w:val="21"/>
        </w:rPr>
        <w:t xml:space="preserve">  </w:t>
      </w:r>
      <w:r>
        <w:rPr>
          <w:rFonts w:ascii="Times New Roman" w:eastAsia="方正仿宋_GBK" w:hAnsi="Times New Roman" w:hint="eastAsia"/>
          <w:vanish w:val="0"/>
          <w:sz w:val="32"/>
          <w:szCs w:val="21"/>
        </w:rPr>
        <w:t>未经海关许可，未办结海关手续的进出境快件不得移出海关监管场所，不得进行装卸、开拆、重换包装、更换标记、提取、派送和发运等作业。</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r>
        <w:rPr>
          <w:rFonts w:ascii="Times New Roman" w:eastAsia="方正黑体_GBK" w:hAnsi="Times New Roman" w:hint="eastAsia"/>
          <w:vanish w:val="0"/>
          <w:sz w:val="32"/>
          <w:szCs w:val="21"/>
        </w:rPr>
        <w:t>第二章</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运营人登记</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第七条</w:t>
      </w:r>
      <w:r>
        <w:rPr>
          <w:rFonts w:ascii="Times New Roman" w:eastAsia="方正仿宋_GBK" w:cs="Arial Unicode MS" w:hAnsi="Times New Roman"/>
          <w:vanish w:val="0"/>
          <w:sz w:val="32"/>
          <w:szCs w:val="21"/>
        </w:rPr>
        <w:t xml:space="preserve">  </w:t>
      </w:r>
      <w:r>
        <w:rPr>
          <w:rFonts w:ascii="Times New Roman" w:eastAsia="方正仿宋_GBK" w:hAnsi="Times New Roman" w:hint="eastAsia"/>
          <w:vanish w:val="0"/>
          <w:sz w:val="32"/>
          <w:szCs w:val="21"/>
        </w:rPr>
        <w:t>运营人申请办理进出境快件代理报关业务的，应当在所在地海关办理登记手续。</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第八条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运营人在所在地海关办理登记手续应具备下列条件：</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（一）已经获得国务院对外贸易主管部门或者其委托的备案机构办理的《国际货运代理企业备案表》，但法律法规另有规定的除外。</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（二）已经领取工商行政管理部门颁发的《企业法人营业执照》，准予或者核定其经营进出境快件业务。</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（三）已经在海关办理报关企业备案手续。</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（四）具有境内、外进出境快件运输网络和二个以上境外分支机构或代理人。</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（五）具有本企业专用进出境快件标识、运单，运输车辆符合海关监管要求并经海关核准备案。</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（六）具备实行电子数据交换方式报关的条件。</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（七）快件的外包装上应标有符合海关自动化检查要求的条形码。</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（八）与境外合作者（包括境内企业法人在境外设立的分支机构）的合作运输合同或协议。</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（九）已取得邮政管理部门颁发的国际快递业务经营许可。</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第九条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进出境快件运营人不再具备本《办法》第八条所列条件之一或者在一年内没有从事进出境快件运营业务的，海关注销该运营人登记。</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r>
        <w:rPr>
          <w:rFonts w:ascii="Times New Roman" w:eastAsia="方正黑体_GBK" w:hAnsi="Times New Roman" w:hint="eastAsia"/>
          <w:vanish w:val="0"/>
          <w:sz w:val="32"/>
          <w:szCs w:val="21"/>
        </w:rPr>
        <w:t>第三章</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进出境快件分类</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第十条</w:t>
      </w:r>
      <w:r>
        <w:rPr>
          <w:rFonts w:ascii="Times New Roman" w:eastAsia="方正黑体_GBK" w:cs="Arial Unicode MS" w:hAnsi="Times New Roman"/>
          <w:vanish w:val="0"/>
          <w:sz w:val="32"/>
          <w:szCs w:val="21"/>
        </w:rPr>
        <w:t xml:space="preserve"> </w:t>
      </w:r>
      <w:r>
        <w:rPr>
          <w:rFonts w:ascii="Times New Roman" w:eastAsia="方正仿宋_GBK" w:cs="Arial Unicode MS" w:hAnsi="Times New Roman"/>
          <w:vanish w:val="0"/>
          <w:sz w:val="32"/>
          <w:szCs w:val="21"/>
        </w:rPr>
        <w:t xml:space="preserve"> </w:t>
      </w:r>
      <w:r>
        <w:rPr>
          <w:rFonts w:ascii="Times New Roman" w:eastAsia="方正仿宋_GBK" w:hAnsi="Times New Roman" w:hint="eastAsia"/>
          <w:vanish w:val="0"/>
          <w:sz w:val="32"/>
          <w:szCs w:val="21"/>
        </w:rPr>
        <w:t>本办法将进出境快件分为文件类、个人物品类和货物类三类。</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第十一条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文件类进出境快件是指法律、法规规定予以免税且无商业价值的文件、单证、票据及资料。</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第十二条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个人物品类进出境快件是指海关法规规定自用、合理数量范围内的进出境的旅客分离运输行李物品、亲友间相互馈赠物品和其他个人物品。</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第十三条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货物类进出境快件是指第十一条、第十二条规定以外的快件。</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r>
        <w:rPr>
          <w:rFonts w:ascii="Times New Roman" w:eastAsia="方正黑体_GBK" w:hAnsi="Times New Roman" w:hint="eastAsia"/>
          <w:vanish w:val="0"/>
          <w:sz w:val="32"/>
          <w:szCs w:val="21"/>
        </w:rPr>
        <w:t>第四章</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进出境快件监管</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第十四条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进出境快件通关应当在经海关批准的专门监管场所内进行，如因特殊情况需要在专门监管场所以外进行的，需事先征得所在地海关同意。</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运营人应当在海关对进出境快件的专门监管场所内设有符合海关监管要求的专用场地、仓库和设备。</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仿宋_GBK" w:hAnsi="Times New Roman" w:hint="eastAsia"/>
          <w:vanish w:val="0"/>
          <w:sz w:val="32"/>
          <w:szCs w:val="21"/>
        </w:rPr>
        <w:t>对进出境快件专门监管场所的管理办法，由海关总署另行制定。</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第十五条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进出境快件通关应当在海关正常办公时间内进行，如需在海关正常办公时间以外进行的，需事先征得所在地海关同意。</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第十六条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进境快件自运输工具申报进境之日起十四日内，出境快件在运输工具离境</w:t>
      </w:r>
      <w:r>
        <w:rPr>
          <w:rFonts w:ascii="Times New Roman" w:eastAsia="方正仿宋_GBK" w:cs="Arial Unicode MS" w:hAnsi="Times New Roman"/>
          <w:vanish w:val="0"/>
          <w:sz w:val="32"/>
          <w:szCs w:val="21"/>
        </w:rPr>
        <w:t>3</w:t>
      </w:r>
      <w:r>
        <w:rPr>
          <w:rFonts w:ascii="Times New Roman" w:eastAsia="方正仿宋_GBK" w:hAnsi="Times New Roman" w:hint="eastAsia"/>
          <w:vanish w:val="0"/>
          <w:sz w:val="32"/>
          <w:szCs w:val="21"/>
        </w:rPr>
        <w:t>小时之前，应当向海关申报。</w:t>
      </w:r>
    </w:p>
    <w:p>
      <w:pPr>
        <w:pStyle w:val="101"/>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黑体_GBK" w:hAnsi="Times New Roman" w:hint="eastAsia"/>
          <w:vanish w:val="0"/>
          <w:sz w:val="32"/>
          <w:szCs w:val="24"/>
        </w:rPr>
        <w:t>第十七条</w:t>
      </w:r>
      <w:r>
        <w:rPr>
          <w:rFonts w:eastAsia="方正黑体_GBK"/>
          <w:vanish w:val="0"/>
          <w:sz w:val="32"/>
          <w:szCs w:val="24"/>
        </w:rPr>
        <w:t xml:space="preserve">  </w:t>
      </w:r>
      <w:r>
        <w:rPr>
          <w:rFonts w:ascii="Times New Roman" w:eastAsia="方正仿宋_GBK" w:hAnsi="Times New Roman" w:hint="eastAsia"/>
          <w:vanish w:val="0"/>
          <w:sz w:val="32"/>
          <w:szCs w:val="24"/>
        </w:rPr>
        <w:t>运营人应向海关传输或递交进出境快件舱单或清单，海关确认无误后接受申报；运营人需提前报关的，应当提前将进出境快件运输和抵达情况书面通知海关，并向海关传输或递交舱单或清单，海关确认无误后接受预申报。</w:t>
      </w:r>
    </w:p>
    <w:p>
      <w:pPr>
        <w:pStyle w:val="101"/>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黑体_GBK" w:hAnsi="Times New Roman" w:hint="eastAsia"/>
          <w:vanish w:val="0"/>
          <w:sz w:val="32"/>
          <w:szCs w:val="24"/>
        </w:rPr>
        <w:t>第十八条</w:t>
      </w:r>
      <w:r>
        <w:rPr>
          <w:rFonts w:eastAsia="方正黑体_GBK"/>
          <w:vanish w:val="0"/>
          <w:sz w:val="32"/>
          <w:szCs w:val="24"/>
        </w:rPr>
        <w:t xml:space="preserve">  </w:t>
      </w:r>
      <w:r>
        <w:rPr>
          <w:rFonts w:ascii="Times New Roman" w:eastAsia="方正仿宋_GBK" w:hAnsi="Times New Roman" w:hint="eastAsia"/>
          <w:vanish w:val="0"/>
          <w:sz w:val="32"/>
          <w:szCs w:val="24"/>
        </w:rPr>
        <w:t>海关查验进出境快件时，运营人应派员到场，并负责进出境快件的搬移、开拆和重封包装。</w:t>
      </w:r>
    </w:p>
    <w:p>
      <w:pPr>
        <w:pStyle w:val="101"/>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仿宋_GBK" w:hAnsi="Times New Roman" w:hint="eastAsia"/>
          <w:vanish w:val="0"/>
          <w:sz w:val="32"/>
          <w:szCs w:val="24"/>
        </w:rPr>
        <w:t>海关对进出境快件中的个人物品实施开拆查验时，运营人应通知进境快件的收件人或出境快件的发件人到场，收件人或发件人不能到场的，运营人应向海关提交其委托书，代理收</w:t>
      </w:r>
      <w:r>
        <w:rPr>
          <w:rFonts w:eastAsia="方正仿宋_GBK"/>
          <w:vanish w:val="0"/>
          <w:sz w:val="32"/>
          <w:szCs w:val="24"/>
        </w:rPr>
        <w:t>/</w:t>
      </w:r>
      <w:r>
        <w:rPr>
          <w:rFonts w:ascii="Times New Roman" w:eastAsia="方正仿宋_GBK" w:hAnsi="Times New Roman" w:hint="eastAsia"/>
          <w:vanish w:val="0"/>
          <w:sz w:val="32"/>
          <w:szCs w:val="24"/>
        </w:rPr>
        <w:t>发件人的义务，并承担相应法律责任。</w:t>
      </w:r>
    </w:p>
    <w:p>
      <w:pPr>
        <w:pStyle w:val="101"/>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仿宋_GBK" w:hAnsi="Times New Roman" w:hint="eastAsia"/>
          <w:vanish w:val="0"/>
          <w:sz w:val="32"/>
          <w:szCs w:val="24"/>
        </w:rPr>
        <w:t>海关认为必要时，可对进出境快件予以径行开验、复验或者提取货样。</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第十九条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除另有规定外，运营人办理进出境快件报关手续时，应当按本办法第十一条、第十二条、第十三条分类规定分别向海关提交有关报关单证并办理相应的报关、纳税手续。</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第二十条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文件类进出境快件报关时，运营人应当向海关提交《中华人民共和国海关进出境快件</w:t>
      </w:r>
      <w:r>
        <w:rPr>
          <w:rFonts w:ascii="Times New Roman" w:eastAsia="方正仿宋_GBK" w:cs="Arial Unicode MS" w:hAnsi="Times New Roman"/>
          <w:vanish w:val="0"/>
          <w:sz w:val="32"/>
          <w:szCs w:val="21"/>
        </w:rPr>
        <w:t>KJ1</w:t>
      </w:r>
      <w:r>
        <w:rPr>
          <w:rFonts w:ascii="Times New Roman" w:eastAsia="方正仿宋_GBK" w:hAnsi="Times New Roman" w:hint="eastAsia"/>
          <w:vanish w:val="0"/>
          <w:sz w:val="32"/>
          <w:szCs w:val="21"/>
        </w:rPr>
        <w:t>报关单》、总运单（副本）和海关需要的其他单证。</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第二十一条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个人物品类进出境快件报关时，运营人应当向海关提交《中华人民共和国海关进出境快件个人物品申报单》、每一进出境快件的分运单、进境快件收件人或出境快件发件人身份证件影印件和海关需要的其他单证。</w:t>
      </w:r>
    </w:p>
    <w:p>
      <w:pPr>
        <w:pStyle w:val="104"/>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黑体_GBK" w:hAnsi="Times New Roman" w:hint="eastAsia"/>
          <w:vanish w:val="0"/>
          <w:sz w:val="32"/>
          <w:szCs w:val="24"/>
        </w:rPr>
        <w:t>第二十二条</w:t>
      </w:r>
      <w:r>
        <w:rPr>
          <w:rFonts w:eastAsia="方正黑体_GBK"/>
          <w:vanish w:val="0"/>
          <w:sz w:val="32"/>
          <w:szCs w:val="24"/>
        </w:rPr>
        <w:t xml:space="preserve">  </w:t>
      </w:r>
      <w:r>
        <w:rPr>
          <w:rFonts w:ascii="Times New Roman" w:eastAsia="方正仿宋_GBK" w:hAnsi="Times New Roman" w:hint="eastAsia"/>
          <w:vanish w:val="0"/>
          <w:sz w:val="32"/>
          <w:szCs w:val="24"/>
        </w:rPr>
        <w:t>货物类进境快件报关时，运营人应当按下列情形分别向海关提交报关单证：</w:t>
      </w:r>
    </w:p>
    <w:p>
      <w:pPr>
        <w:pStyle w:val="104"/>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仿宋_GBK" w:hAnsi="Times New Roman" w:hint="eastAsia"/>
          <w:vanish w:val="0"/>
          <w:sz w:val="32"/>
          <w:szCs w:val="24"/>
        </w:rPr>
        <w:t>对关税税额在国务院规定的免征额度内的货物和依法准予免税的货样、广告品，应提交《中华人民共和国海关进出境快件</w:t>
      </w:r>
      <w:r>
        <w:rPr>
          <w:rFonts w:eastAsia="方正仿宋_GBK"/>
          <w:vanish w:val="0"/>
          <w:sz w:val="32"/>
          <w:szCs w:val="24"/>
        </w:rPr>
        <w:t>KJ2</w:t>
      </w:r>
      <w:r>
        <w:rPr>
          <w:rFonts w:ascii="Times New Roman" w:eastAsia="方正仿宋_GBK" w:hAnsi="Times New Roman" w:hint="eastAsia"/>
          <w:vanish w:val="0"/>
          <w:sz w:val="32"/>
          <w:szCs w:val="24"/>
        </w:rPr>
        <w:t>报关单》、每一进境快件的分运单、发票和海关需要的其他单证。</w:t>
      </w:r>
    </w:p>
    <w:p>
      <w:pPr>
        <w:pStyle w:val="104"/>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仿宋_GBK" w:hAnsi="Times New Roman" w:hint="eastAsia"/>
          <w:vanish w:val="0"/>
          <w:sz w:val="32"/>
          <w:szCs w:val="24"/>
        </w:rPr>
        <w:t>对应予征税的货样、广告品（法律、法规规定实行许可证件管理的、需进口付汇的除外），应提交《中华人民共和国海关进出境快件</w:t>
      </w:r>
      <w:r>
        <w:rPr>
          <w:rFonts w:eastAsia="方正仿宋_GBK"/>
          <w:vanish w:val="0"/>
          <w:sz w:val="32"/>
          <w:szCs w:val="24"/>
        </w:rPr>
        <w:t>KJ3</w:t>
      </w:r>
      <w:r>
        <w:rPr>
          <w:rFonts w:ascii="Times New Roman" w:eastAsia="方正仿宋_GBK" w:hAnsi="Times New Roman" w:hint="eastAsia"/>
          <w:vanish w:val="0"/>
          <w:sz w:val="32"/>
          <w:szCs w:val="24"/>
        </w:rPr>
        <w:t>报关单》、每一进境快件的分运单、发票和海关需要的其他单证。</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第二十三条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对第二十条、第二十一条、第二十二条规定以外的货物，按照海关对进口货物通关的规定办理。</w:t>
      </w:r>
    </w:p>
    <w:p>
      <w:pPr>
        <w:pStyle w:val="176"/>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黑体_GBK" w:hAnsi="Times New Roman" w:hint="eastAsia"/>
          <w:vanish w:val="0"/>
          <w:sz w:val="32"/>
          <w:szCs w:val="24"/>
        </w:rPr>
        <w:t>第二十四条</w:t>
      </w:r>
      <w:r>
        <w:rPr>
          <w:rFonts w:eastAsia="方正黑体_GBK"/>
          <w:vanish w:val="0"/>
          <w:sz w:val="32"/>
          <w:szCs w:val="24"/>
        </w:rPr>
        <w:t xml:space="preserve">  </w:t>
      </w:r>
      <w:r>
        <w:rPr>
          <w:rFonts w:ascii="Times New Roman" w:eastAsia="方正仿宋_GBK" w:hAnsi="Times New Roman" w:hint="eastAsia"/>
          <w:vanish w:val="0"/>
          <w:sz w:val="32"/>
          <w:szCs w:val="24"/>
        </w:rPr>
        <w:t>货物类出境快件报关时，运营人应按下列情形分别向海关提交报关单证：</w:t>
      </w:r>
    </w:p>
    <w:p>
      <w:pPr>
        <w:pStyle w:val="176"/>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仿宋_GBK" w:hAnsi="Times New Roman" w:hint="eastAsia"/>
          <w:vanish w:val="0"/>
          <w:sz w:val="32"/>
          <w:szCs w:val="24"/>
        </w:rPr>
        <w:t>对货样、广告品（法律、法规规定实行许可证件管理的、应征出口关税的、需出口收汇的、需出口退税的除外），应提交《中华人民共和国海关进出境快件</w:t>
      </w:r>
      <w:r>
        <w:rPr>
          <w:rFonts w:eastAsia="方正仿宋_GBK"/>
          <w:vanish w:val="0"/>
          <w:sz w:val="32"/>
          <w:szCs w:val="24"/>
        </w:rPr>
        <w:t>KJ2</w:t>
      </w:r>
      <w:r>
        <w:rPr>
          <w:rFonts w:ascii="Times New Roman" w:eastAsia="方正仿宋_GBK" w:hAnsi="Times New Roman" w:hint="eastAsia"/>
          <w:vanish w:val="0"/>
          <w:sz w:val="32"/>
          <w:szCs w:val="24"/>
        </w:rPr>
        <w:t>报关单》、每一出境快件的分运单、发票和海关需要的其他单证。</w:t>
      </w:r>
    </w:p>
    <w:p>
      <w:pPr>
        <w:pStyle w:val="176"/>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24"/>
        </w:rPr>
      </w:pPr>
      <w:r>
        <w:rPr>
          <w:rFonts w:ascii="Times New Roman" w:eastAsia="方正仿宋_GBK" w:hAnsi="Times New Roman" w:hint="eastAsia"/>
          <w:vanish w:val="0"/>
          <w:sz w:val="32"/>
          <w:szCs w:val="24"/>
        </w:rPr>
        <w:t>对上述以外的其他货物，按照海关对出口货物通关的规定办理。</w:t>
      </w: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r>
        <w:rPr>
          <w:rFonts w:ascii="Times New Roman" w:eastAsia="方正黑体_GBK" w:hAnsi="Times New Roman" w:hint="eastAsia"/>
          <w:vanish w:val="0"/>
          <w:sz w:val="32"/>
          <w:szCs w:val="21"/>
        </w:rPr>
        <w:t>第五章</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进出境专差快件</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第二十五条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进出境专差快件是指运营人以专差押运方式承运进出境的空运快件。</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第二十六条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运营人从事进出境专差快件经营业务，除应当按本办法第二章有关规定办理登记手续外，还应当将进出境专差快件的进出境口岸、时间、路线、运输工具航班、专差本人的详细情况、标志等向所在地海关登记。如有变更，应当于变更前</w:t>
      </w:r>
      <w:r>
        <w:rPr>
          <w:rFonts w:ascii="Times New Roman" w:eastAsia="方正仿宋_GBK" w:cs="Arial Unicode MS" w:hAnsi="Times New Roman"/>
          <w:vanish w:val="0"/>
          <w:sz w:val="32"/>
          <w:szCs w:val="21"/>
        </w:rPr>
        <w:t>5</w:t>
      </w:r>
      <w:r>
        <w:rPr>
          <w:rFonts w:ascii="Times New Roman" w:eastAsia="方正仿宋_GBK" w:hAnsi="Times New Roman" w:hint="eastAsia"/>
          <w:vanish w:val="0"/>
          <w:sz w:val="32"/>
          <w:szCs w:val="21"/>
        </w:rPr>
        <w:t>个工作日向所在地海关登记。</w:t>
      </w:r>
    </w:p>
    <w:p>
      <w:pPr>
        <w:pStyle w:val="9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Unicode MS" w:hAnsi="Times New Roman"/>
          <w:vanish w:val="0"/>
          <w:sz w:val="32"/>
          <w:szCs w:val="21"/>
        </w:rPr>
      </w:pPr>
      <w:r>
        <w:rPr>
          <w:rFonts w:ascii="Times New Roman" w:eastAsia="方正黑体_GBK" w:hAnsi="Times New Roman" w:hint="eastAsia"/>
          <w:vanish w:val="0"/>
          <w:sz w:val="32"/>
          <w:szCs w:val="21"/>
        </w:rPr>
        <w:t>第二十七条</w:t>
      </w:r>
      <w:r>
        <w:rPr>
          <w:rFonts w:ascii="Times New Roman" w:eastAsia="方正黑体_GBK" w:cs="Arial Unicode MS" w:hAnsi="Times New Roman"/>
          <w:vanish w:val="0"/>
          <w:sz w:val="32"/>
          <w:szCs w:val="21"/>
        </w:rPr>
        <w:t xml:space="preserve">  </w:t>
      </w:r>
      <w:r>
        <w:rPr>
          <w:rFonts w:ascii="Times New Roman" w:eastAsia="方正仿宋_GBK" w:hAnsi="Times New Roman" w:hint="eastAsia"/>
          <w:vanish w:val="0"/>
          <w:sz w:val="32"/>
          <w:szCs w:val="21"/>
        </w:rPr>
        <w:t>进出境专差快件应按行李物品方式托运，使用专用包装，并在总包装的显著位置标注运营人名称和“进出境专差快件”字样。</w:t>
      </w: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r>
        <w:rPr>
          <w:rFonts w:ascii="Times New Roman" w:eastAsia="方正黑体_GBK" w:hAnsi="Times New Roman" w:hint="eastAsia"/>
          <w:vanish w:val="0"/>
          <w:sz w:val="32"/>
          <w:szCs w:val="21"/>
        </w:rPr>
        <w:t>第六章</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法律责任</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17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Arial" w:hAnsi="Times New Roman"/>
          <w:vanish w:val="0"/>
          <w:sz w:val="32"/>
          <w:szCs w:val="22"/>
        </w:rPr>
      </w:pPr>
      <w:r>
        <w:rPr>
          <w:rFonts w:ascii="Times New Roman" w:eastAsia="方正黑体_GBK" w:hAnsi="Times New Roman" w:hint="eastAsia"/>
          <w:vanish w:val="0"/>
          <w:sz w:val="32"/>
          <w:szCs w:val="22"/>
        </w:rPr>
        <w:t>第二十八条</w:t>
      </w:r>
      <w:r>
        <w:rPr>
          <w:rFonts w:ascii="Times New Roman" w:eastAsia="方正黑体_GBK" w:cs="Arial" w:hAnsi="Times New Roman"/>
          <w:vanish w:val="0"/>
          <w:sz w:val="32"/>
          <w:szCs w:val="22"/>
        </w:rPr>
        <w:t xml:space="preserve">  </w:t>
      </w:r>
      <w:r>
        <w:rPr>
          <w:rFonts w:ascii="Times New Roman" w:eastAsia="方正仿宋_GBK" w:hAnsi="Times New Roman" w:hint="eastAsia"/>
          <w:vanish w:val="0"/>
          <w:sz w:val="32"/>
          <w:szCs w:val="22"/>
        </w:rPr>
        <w:t>违反本办法有走私违法行为的，海关按照《中华人民共和国海关法》、《中华人民共和国海关行政处罚实施条例》等有关法律、行政法规进行处理；构成犯罪的，依法追究刑事责任。</w:t>
      </w: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p>
    <w:p>
      <w:pPr>
        <w:pStyle w:val="9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Arial Unicode MS" w:hAnsi="Times New Roman"/>
          <w:vanish w:val="0"/>
          <w:sz w:val="32"/>
          <w:szCs w:val="21"/>
        </w:rPr>
      </w:pPr>
      <w:r>
        <w:rPr>
          <w:rFonts w:ascii="Times New Roman" w:eastAsia="方正黑体_GBK" w:hAnsi="Times New Roman" w:hint="eastAsia"/>
          <w:vanish w:val="0"/>
          <w:sz w:val="32"/>
          <w:szCs w:val="21"/>
        </w:rPr>
        <w:t>第七章</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附</w:t>
      </w:r>
      <w:r>
        <w:rPr>
          <w:rFonts w:ascii="Times New Roman" w:eastAsia="方正黑体_GBK" w:cs="Arial Unicode MS" w:hAnsi="Times New Roman"/>
          <w:vanish w:val="0"/>
          <w:sz w:val="32"/>
          <w:szCs w:val="21"/>
        </w:rPr>
        <w:t xml:space="preserve">  </w:t>
      </w:r>
      <w:r>
        <w:rPr>
          <w:rFonts w:ascii="Times New Roman" w:eastAsia="方正黑体_GBK" w:hAnsi="Times New Roman" w:hint="eastAsia"/>
          <w:vanish w:val="0"/>
          <w:sz w:val="32"/>
          <w:szCs w:val="21"/>
        </w:rPr>
        <w:t>则</w:t>
      </w:r>
    </w:p>
    <w:p>
      <w:pPr>
        <w:pStyle w:val="175"/>
        <w:pBdr>
          <w:top w:val="none" w:sz="0" w:space="0" w:color="auto"/>
          <w:left w:val="none" w:sz="0" w:space="0" w:color="auto"/>
          <w:bottom w:val="none" w:sz="0" w:space="0" w:color="auto"/>
          <w:right w:val="none" w:sz="0" w:space="0" w:color="auto"/>
        </w:pBdr>
        <w:spacing w:line="560" w:lineRule="exact"/>
        <w:rPr>
          <w:rFonts w:ascii="Times New Roman" w:cs="Arial" w:hAnsi="Times New Roman"/>
          <w:vanish w:val="0"/>
        </w:rPr>
      </w:pPr>
    </w:p>
    <w:p>
      <w:pPr>
        <w:pStyle w:val="138"/>
        <w:pBdr>
          <w:top w:val="none" w:sz="0" w:space="0" w:color="auto"/>
          <w:left w:val="none" w:sz="0" w:space="0" w:color="auto"/>
          <w:bottom w:val="none" w:sz="0" w:space="0" w:color="auto"/>
          <w:right w:val="none" w:sz="0" w:space="0" w:color="auto"/>
        </w:pBdr>
        <w:spacing w:line="560" w:lineRule="exact"/>
        <w:ind w:firstLineChars="200" w:firstLine="640"/>
        <w:jc w:val="left"/>
        <w:rPr>
          <w:vanish w:val="0"/>
        </w:rPr>
      </w:pPr>
      <w:r>
        <w:rPr>
          <w:rFonts w:ascii="Times New Roman" w:eastAsia="方正黑体_GBK" w:cs="Arial" w:hAnsi="Times New Roman" w:hint="eastAsia"/>
          <w:vanish w:val="0"/>
          <w:szCs w:val="22"/>
        </w:rPr>
        <w:t>第二十九条</w:t>
      </w:r>
      <w:r>
        <w:rPr>
          <w:vanish w:val="0"/>
        </w:rPr>
        <w:t xml:space="preserve">  </w:t>
      </w:r>
      <w:r>
        <w:rPr>
          <w:rFonts w:ascii="Times New Roman" w:eastAsia="方正仿宋_GBK" w:hAnsi="Times New Roman" w:hint="eastAsia"/>
          <w:vanish w:val="0"/>
        </w:rPr>
        <w:t>本办法所规定的文书由海关总署另行制定并且发布。</w:t>
      </w:r>
    </w:p>
    <w:p>
      <w:pPr>
        <w:pStyle w:val="138"/>
        <w:pBdr>
          <w:top w:val="none" w:sz="0" w:space="0" w:color="auto"/>
          <w:left w:val="none" w:sz="0" w:space="0" w:color="auto"/>
          <w:bottom w:val="none" w:sz="0" w:space="0" w:color="auto"/>
          <w:right w:val="none" w:sz="0" w:space="0" w:color="auto"/>
        </w:pBdr>
        <w:spacing w:line="560" w:lineRule="exact"/>
        <w:ind w:firstLineChars="200" w:firstLine="640"/>
        <w:jc w:val="left"/>
        <w:rPr>
          <w:vanish w:val="0"/>
        </w:rPr>
      </w:pPr>
      <w:r>
        <w:rPr>
          <w:rFonts w:ascii="Times New Roman" w:eastAsia="方正黑体_GBK" w:cs="Arial" w:hAnsi="Times New Roman" w:hint="eastAsia"/>
          <w:vanish w:val="0"/>
          <w:szCs w:val="22"/>
        </w:rPr>
        <w:t>第三十条</w:t>
      </w:r>
      <w:r>
        <w:rPr>
          <w:vanish w:val="0"/>
        </w:rPr>
        <w:t xml:space="preserve">  </w:t>
      </w:r>
      <w:r>
        <w:rPr>
          <w:rFonts w:ascii="Times New Roman" w:eastAsia="方正仿宋_GBK" w:hAnsi="Times New Roman" w:hint="eastAsia"/>
          <w:vanish w:val="0"/>
        </w:rPr>
        <w:t>本办法由海关总署负责解释。</w:t>
      </w:r>
    </w:p>
    <w:p>
      <w:pPr>
        <w:pStyle w:val="138"/>
        <w:spacing w:line="560" w:lineRule="exact"/>
        <w:ind w:firstLineChars="200" w:firstLine="640"/>
        <w:jc w:val="left"/>
        <w:rPr>
          <w:rFonts w:ascii="方正黑体_GBK" w:eastAsia="方正黑体_GBK" w:hint="eastAsia"/>
        </w:rPr>
      </w:pPr>
      <w:r>
        <w:rPr>
          <w:rFonts w:ascii="Times New Roman" w:eastAsia="方正黑体_GBK" w:cs="Arial" w:hAnsi="Times New Roman" w:hint="eastAsia"/>
          <w:vanish w:val="0"/>
          <w:szCs w:val="22"/>
        </w:rPr>
        <w:t>第三十一条</w:t>
      </w:r>
      <w:r>
        <w:rPr>
          <w:vanish w:val="0"/>
        </w:rPr>
        <w:t xml:space="preserve">  </w:t>
      </w:r>
      <w:r>
        <w:rPr>
          <w:rFonts w:ascii="Times New Roman" w:eastAsia="方正仿宋_GBK" w:hAnsi="Times New Roman" w:hint="eastAsia"/>
          <w:vanish w:val="0"/>
        </w:rPr>
        <w:t>本办法自二○○四年一月一日起施行。</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小标宋_GBK">
    <w:altName w:val="苹方-简"/>
    <w:panose1 w:val="03000509000000000000"/>
    <w:charset w:val="86"/>
    <w:family w:val="script"/>
    <w:pitch w:val="variable"/>
    <w:sig w:usb0="00000001" w:usb1="080E0000" w:usb2="00000010" w:usb3="00000000" w:csb0="00040000" w:csb1="00000000"/>
  </w:font>
  <w:font w:name="仿宋">
    <w:altName w:val="方正仿宋_GBK"/>
    <w:panose1 w:val="00000000000000000000"/>
    <w:charset w:val="00"/>
    <w:family w:val="auto"/>
    <w:pitch w:val="variable"/>
    <w:sig w:usb0="00000000" w:usb1="00000000" w:usb2="00000000" w:usb3="00000000" w:csb0="00000000" w:csb1="00000000"/>
  </w:font>
  <w:font w:name="楷体">
    <w:altName w:val="方正楷体_GBK"/>
    <w:panose1 w:val="00000000000000000000"/>
    <w:charset w:val="00"/>
    <w:family w:val="auto"/>
    <w:pitch w:val="variable"/>
    <w:sig w:usb0="00000000" w:usb1="00000000" w:usb2="00000000" w:usb3="00000000" w:csb0="00000000" w:csb1="00000000"/>
  </w:font>
  <w:font w:name="Arial Unicode MS">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方正仿宋_GBK">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975</TotalTime>
  <Application>Yozo_Office</Application>
  <Pages>7</Pages>
  <Words>2636</Words>
  <Characters>2644</Characters>
  <Lines>145</Lines>
  <Paragraphs>58</Paragraphs>
  <CharactersWithSpaces>2725</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2024-10-28T01:56:36Z</dcterms:modified>
</cp:coreProperties>
</file>