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rPr>
          <w:rFonts w:ascii="宋体" w:hAnsi="宋体" w:eastAsia="楷体_GB2312" w:cs="Times New Roman"/>
          <w:b/>
          <w:bCs/>
          <w:color w:val="auto"/>
          <w:kern w:val="0"/>
          <w:sz w:val="32"/>
          <w:szCs w:val="32"/>
        </w:rPr>
      </w:pPr>
    </w:p>
    <w:p>
      <w:pPr>
        <w:widowControl/>
        <w:shd w:val="clear" w:color="auto" w:fill="FFFFFF"/>
        <w:spacing w:line="600" w:lineRule="exact"/>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附件：</w:t>
      </w:r>
    </w:p>
    <w:p>
      <w:pPr>
        <w:widowControl/>
        <w:shd w:val="clear" w:color="auto" w:fill="FFFFFF"/>
        <w:spacing w:line="600" w:lineRule="exact"/>
        <w:rPr>
          <w:rFonts w:hint="eastAsia" w:ascii="宋体" w:hAnsi="宋体" w:eastAsia="仿宋_GB2312" w:cs="仿宋_GB2312"/>
          <w:b/>
          <w:bCs/>
          <w:color w:val="auto"/>
          <w:kern w:val="0"/>
          <w:sz w:val="32"/>
          <w:szCs w:val="32"/>
          <w:lang w:eastAsia="zh-CN"/>
        </w:rPr>
      </w:pPr>
      <w:r>
        <w:rPr>
          <w:rFonts w:hint="eastAsia" w:ascii="宋体" w:hAnsi="宋体" w:eastAsia="仿宋_GB2312" w:cs="仿宋_GB2312"/>
          <w:b/>
          <w:bCs/>
          <w:color w:val="auto"/>
          <w:kern w:val="0"/>
          <w:sz w:val="32"/>
          <w:szCs w:val="32"/>
          <w:lang w:eastAsia="zh-CN"/>
        </w:rPr>
        <w:t>仿宋字体为财政部原文</w:t>
      </w:r>
    </w:p>
    <w:p>
      <w:pPr>
        <w:widowControl/>
        <w:shd w:val="clear" w:color="auto" w:fill="FFFFFF"/>
        <w:spacing w:line="600" w:lineRule="exact"/>
        <w:rPr>
          <w:rFonts w:hint="eastAsia" w:ascii="宋体" w:hAnsi="宋体" w:eastAsia="仿宋_GB2312" w:cs="仿宋_GB2312"/>
          <w:b/>
          <w:bCs/>
          <w:color w:val="auto"/>
          <w:kern w:val="0"/>
          <w:sz w:val="32"/>
          <w:szCs w:val="32"/>
          <w:lang w:eastAsia="zh-CN"/>
        </w:rPr>
      </w:pPr>
      <w:r>
        <w:rPr>
          <w:rFonts w:hint="eastAsia" w:ascii="宋体" w:hAnsi="宋体" w:eastAsia="仿宋_GB2312" w:cs="仿宋_GB2312"/>
          <w:b/>
          <w:bCs/>
          <w:color w:val="auto"/>
          <w:kern w:val="0"/>
          <w:sz w:val="32"/>
          <w:szCs w:val="32"/>
          <w:lang w:eastAsia="zh-CN"/>
        </w:rPr>
        <w:t>黑体为我省新增或修改内容</w:t>
      </w:r>
    </w:p>
    <w:p>
      <w:pPr>
        <w:widowControl/>
        <w:shd w:val="clear" w:color="auto" w:fill="FFFFFF"/>
        <w:spacing w:line="600" w:lineRule="exact"/>
        <w:jc w:val="center"/>
        <w:rPr>
          <w:rFonts w:hint="eastAsia" w:ascii="宋体" w:hAnsi="宋体" w:eastAsia="方正小标宋简体" w:cs="方正小标宋简体"/>
          <w:color w:val="auto"/>
          <w:kern w:val="0"/>
          <w:sz w:val="44"/>
          <w:szCs w:val="44"/>
        </w:rPr>
      </w:pPr>
    </w:p>
    <w:p>
      <w:pPr>
        <w:widowControl/>
        <w:shd w:val="clear" w:color="auto" w:fill="FFFFFF"/>
        <w:spacing w:line="600" w:lineRule="exact"/>
        <w:jc w:val="center"/>
        <w:rPr>
          <w:rFonts w:hint="eastAsia" w:ascii="宋体" w:hAnsi="宋体" w:eastAsia="方正小标宋简体" w:cs="方正小标宋简体"/>
          <w:color w:val="auto"/>
          <w:kern w:val="0"/>
          <w:sz w:val="44"/>
          <w:szCs w:val="44"/>
        </w:rPr>
      </w:pPr>
    </w:p>
    <w:p>
      <w:pPr>
        <w:widowControl/>
        <w:shd w:val="clear" w:color="auto" w:fill="FFFFFF"/>
        <w:spacing w:line="600" w:lineRule="exact"/>
        <w:jc w:val="center"/>
        <w:rPr>
          <w:rFonts w:hint="eastAsia" w:ascii="宋体" w:hAnsi="宋体" w:eastAsia="方正小标宋简体" w:cs="方正小标宋简体"/>
          <w:color w:val="auto"/>
          <w:kern w:val="0"/>
          <w:sz w:val="44"/>
          <w:szCs w:val="44"/>
        </w:rPr>
      </w:pPr>
      <w:r>
        <w:rPr>
          <w:rFonts w:hint="eastAsia" w:ascii="宋体" w:hAnsi="宋体" w:eastAsia="方正小标宋简体" w:cs="方正小标宋简体"/>
          <w:color w:val="auto"/>
          <w:kern w:val="0"/>
          <w:sz w:val="44"/>
          <w:szCs w:val="44"/>
        </w:rPr>
        <w:t>四川省罚没财物管理办法</w:t>
      </w:r>
    </w:p>
    <w:p>
      <w:pPr>
        <w:widowControl/>
        <w:shd w:val="clear" w:color="auto" w:fill="FFFFFF"/>
        <w:spacing w:line="600" w:lineRule="exact"/>
        <w:jc w:val="center"/>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lang w:eastAsia="zh-CN"/>
        </w:rPr>
        <w:t>（征求意见稿）</w:t>
      </w:r>
    </w:p>
    <w:p>
      <w:pPr>
        <w:widowControl/>
        <w:shd w:val="clear" w:color="auto" w:fill="FFFFFF"/>
        <w:spacing w:line="600" w:lineRule="exact"/>
        <w:jc w:val="center"/>
        <w:rPr>
          <w:rFonts w:ascii="宋体" w:hAnsi="宋体" w:eastAsia="楷体_GB2312" w:cs="Times New Roman"/>
          <w:b/>
          <w:bCs/>
          <w:color w:val="auto"/>
          <w:kern w:val="0"/>
          <w:sz w:val="32"/>
          <w:szCs w:val="32"/>
        </w:rPr>
      </w:pPr>
    </w:p>
    <w:p>
      <w:pPr>
        <w:widowControl/>
        <w:shd w:val="clear" w:color="auto" w:fill="FFFFFF"/>
        <w:spacing w:line="600" w:lineRule="exact"/>
        <w:jc w:val="center"/>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第一章</w:t>
      </w:r>
      <w:r>
        <w:rPr>
          <w:rFonts w:ascii="宋体" w:eastAsia="楷体_GB2312" w:cs="Times New Roman"/>
          <w:b/>
          <w:bCs/>
          <w:color w:val="auto"/>
          <w:kern w:val="0"/>
          <w:sz w:val="32"/>
          <w:szCs w:val="32"/>
        </w:rPr>
        <w:t> </w:t>
      </w:r>
      <w:r>
        <w:rPr>
          <w:rFonts w:ascii="宋体" w:eastAsia="楷体_GB2312" w:cs="宋体"/>
          <w:b/>
          <w:bCs/>
          <w:color w:val="auto"/>
          <w:kern w:val="0"/>
          <w:sz w:val="32"/>
          <w:szCs w:val="32"/>
        </w:rPr>
        <w:t xml:space="preserve"> </w:t>
      </w:r>
      <w:r>
        <w:rPr>
          <w:rFonts w:hint="eastAsia" w:ascii="宋体" w:hAnsi="宋体" w:eastAsia="楷体_GB2312" w:cs="楷体_GB2312"/>
          <w:b/>
          <w:bCs/>
          <w:color w:val="auto"/>
          <w:kern w:val="0"/>
          <w:sz w:val="32"/>
          <w:szCs w:val="32"/>
        </w:rPr>
        <w:t>总</w:t>
      </w:r>
      <w:r>
        <w:rPr>
          <w:rFonts w:ascii="宋体" w:hAnsi="宋体" w:eastAsia="楷体_GB2312" w:cs="宋体"/>
          <w:b/>
          <w:bCs/>
          <w:color w:val="auto"/>
          <w:kern w:val="0"/>
          <w:sz w:val="32"/>
          <w:szCs w:val="32"/>
        </w:rPr>
        <w:t xml:space="preserve"> </w:t>
      </w:r>
      <w:r>
        <w:rPr>
          <w:rFonts w:hint="eastAsia" w:ascii="宋体" w:hAnsi="宋体" w:eastAsia="楷体_GB2312" w:cs="楷体_GB2312"/>
          <w:b/>
          <w:bCs/>
          <w:color w:val="auto"/>
          <w:kern w:val="0"/>
          <w:sz w:val="32"/>
          <w:szCs w:val="32"/>
        </w:rPr>
        <w:t>则</w:t>
      </w:r>
      <w:bookmarkStart w:id="0" w:name="_GoBack"/>
      <w:bookmarkEnd w:id="0"/>
    </w:p>
    <w:p>
      <w:pPr>
        <w:widowControl/>
        <w:shd w:val="clear" w:color="auto" w:fill="FFFFFF"/>
        <w:spacing w:line="600" w:lineRule="exact"/>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第一条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为规范和加强罚没财物管理，防止国家财产损失，保护自然人、法人和非法人组织的合法权益，根据《中华人民共和国预算法》《罚款决定与罚款收缴分离实施办法》（国务院令第</w:t>
      </w:r>
      <w:r>
        <w:rPr>
          <w:rFonts w:ascii="宋体" w:hAnsi="宋体" w:eastAsia="仿宋_GB2312" w:cs="宋体"/>
          <w:color w:val="auto"/>
          <w:kern w:val="0"/>
          <w:sz w:val="32"/>
          <w:szCs w:val="32"/>
        </w:rPr>
        <w:t>235</w:t>
      </w:r>
      <w:r>
        <w:rPr>
          <w:rFonts w:hint="eastAsia" w:ascii="宋体" w:hAnsi="宋体" w:eastAsia="仿宋_GB2312" w:cs="仿宋_GB2312"/>
          <w:color w:val="auto"/>
          <w:kern w:val="0"/>
          <w:sz w:val="32"/>
          <w:szCs w:val="32"/>
        </w:rPr>
        <w:t>号）</w:t>
      </w:r>
      <w:r>
        <w:rPr>
          <w:rFonts w:hint="eastAsia" w:ascii="黑体" w:hAnsi="黑体" w:eastAsia="黑体" w:cs="黑体"/>
          <w:color w:val="auto"/>
          <w:kern w:val="0"/>
          <w:sz w:val="32"/>
          <w:szCs w:val="32"/>
        </w:rPr>
        <w:t>《财政部关于印发〈罚没财物管理办法〉的通知》（财税〔2020〕54号）</w:t>
      </w:r>
      <w:r>
        <w:rPr>
          <w:rFonts w:hint="eastAsia" w:ascii="宋体" w:hAnsi="宋体" w:eastAsia="仿宋_GB2312" w:cs="仿宋_GB2312"/>
          <w:color w:val="auto"/>
          <w:kern w:val="0"/>
          <w:sz w:val="32"/>
          <w:szCs w:val="32"/>
        </w:rPr>
        <w:t>等有关规定，制定本办法。</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第二条</w:t>
      </w:r>
      <w:r>
        <w:rPr>
          <w:rFonts w:ascii="宋体" w:eastAsia="仿宋_GB2312" w:cs="Times New Roman"/>
          <w:color w:val="auto"/>
          <w:kern w:val="0"/>
          <w:sz w:val="32"/>
          <w:szCs w:val="32"/>
        </w:rPr>
        <w:t> </w:t>
      </w:r>
      <w:r>
        <w:rPr>
          <w:rFonts w:hint="eastAsia" w:ascii="黑体" w:hAnsi="黑体" w:eastAsia="黑体" w:cs="黑体"/>
          <w:color w:val="auto"/>
          <w:kern w:val="0"/>
          <w:sz w:val="32"/>
          <w:szCs w:val="32"/>
          <w:lang w:eastAsia="zh-CN"/>
        </w:rPr>
        <w:t>四川省</w:t>
      </w:r>
      <w:r>
        <w:rPr>
          <w:rFonts w:hint="eastAsia" w:ascii="宋体" w:hAnsi="宋体" w:eastAsia="仿宋_GB2312" w:cs="仿宋_GB2312"/>
          <w:color w:val="auto"/>
          <w:kern w:val="0"/>
          <w:sz w:val="32"/>
          <w:szCs w:val="32"/>
        </w:rPr>
        <w:t>罚没财物移交、保管、处置、收入上缴、预算管理等，适用本办法。</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第三条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本办法所称罚没财物，是指执法机关依法对自然人、法人和非法人组织作出行政处罚决定</w:t>
      </w:r>
      <w:r>
        <w:rPr>
          <w:rFonts w:hint="eastAsia" w:ascii="仿宋_GB2312" w:eastAsia="仿宋_GB2312" w:cs="仿宋_GB2312"/>
          <w:color w:val="auto"/>
          <w:kern w:val="0"/>
          <w:sz w:val="32"/>
          <w:szCs w:val="32"/>
          <w:lang w:eastAsia="zh-CN"/>
        </w:rPr>
        <w:t>，</w:t>
      </w:r>
      <w:r>
        <w:rPr>
          <w:rFonts w:hint="eastAsia" w:ascii="仿宋_GB2312" w:hAnsi="宋体" w:eastAsia="仿宋_GB2312" w:cs="仿宋_GB2312"/>
          <w:color w:val="auto"/>
          <w:kern w:val="0"/>
          <w:sz w:val="32"/>
          <w:szCs w:val="32"/>
        </w:rPr>
        <w:t>没收、</w:t>
      </w:r>
      <w:r>
        <w:rPr>
          <w:rFonts w:hint="eastAsia" w:ascii="宋体" w:hAnsi="宋体" w:eastAsia="仿宋_GB2312" w:cs="仿宋_GB2312"/>
          <w:color w:val="auto"/>
          <w:kern w:val="0"/>
          <w:sz w:val="32"/>
          <w:szCs w:val="32"/>
        </w:rPr>
        <w:t>追缴决定或者法院生效裁定、判决取得的罚款、罚金、违法所得、非法财物，没收的保证金、个人财产等</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包括现金、有价票证、有价证券、动产、不动产和其他财产权利等。</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本办法所称执法机关，是指</w:t>
      </w:r>
      <w:r>
        <w:rPr>
          <w:rFonts w:hint="eastAsia" w:ascii="宋体" w:hAnsi="宋体" w:eastAsia="仿宋_GB2312" w:cs="仿宋_GB2312"/>
          <w:color w:val="auto"/>
          <w:kern w:val="0"/>
          <w:sz w:val="32"/>
          <w:szCs w:val="32"/>
          <w:lang w:eastAsia="zh-CN"/>
        </w:rPr>
        <w:t>各级</w:t>
      </w:r>
      <w:r>
        <w:rPr>
          <w:rFonts w:hint="eastAsia" w:ascii="宋体" w:hAnsi="宋体" w:eastAsia="仿宋_GB2312" w:cs="仿宋_GB2312"/>
          <w:color w:val="auto"/>
          <w:kern w:val="0"/>
          <w:sz w:val="32"/>
          <w:szCs w:val="32"/>
        </w:rPr>
        <w:t>行政机关、监察机关、审判机关、检察机关，法律法规授权的具有管理公共事务职能的事业单位和组织。</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本办法所称罚没收入是指罚款、罚金等现金收入，罚没财物处置收入及其孳息。</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第四条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罚没财物管理工作应遵循罚款决定与罚款收缴相分离，执法与保管、处置岗位相分离，罚没收入与经费保障相分离的原则。</w:t>
      </w:r>
    </w:p>
    <w:p>
      <w:pPr>
        <w:widowControl/>
        <w:shd w:val="clear" w:color="auto" w:fill="FFFFFF"/>
        <w:spacing w:line="600" w:lineRule="exact"/>
        <w:ind w:firstLine="640"/>
        <w:rPr>
          <w:rFonts w:hint="eastAsia" w:ascii="宋体" w:hAnsi="宋体" w:eastAsia="仿宋_GB2312" w:cs="仿宋_GB2312"/>
          <w:color w:val="auto"/>
          <w:kern w:val="0"/>
          <w:sz w:val="32"/>
          <w:szCs w:val="32"/>
          <w:lang w:eastAsia="zh-CN"/>
        </w:rPr>
      </w:pPr>
      <w:r>
        <w:rPr>
          <w:rFonts w:hint="eastAsia" w:ascii="宋体" w:hAnsi="宋体" w:eastAsia="仿宋_GB2312" w:cs="仿宋_GB2312"/>
          <w:b/>
          <w:bCs/>
          <w:color w:val="auto"/>
          <w:kern w:val="0"/>
          <w:sz w:val="32"/>
          <w:szCs w:val="32"/>
        </w:rPr>
        <w:t>第五条</w:t>
      </w:r>
      <w:r>
        <w:rPr>
          <w:rFonts w:ascii="宋体" w:eastAsia="仿宋_GB2312" w:cs="Times New Roman"/>
          <w:color w:val="auto"/>
          <w:kern w:val="0"/>
          <w:sz w:val="32"/>
          <w:szCs w:val="32"/>
        </w:rPr>
        <w:t> </w:t>
      </w:r>
      <w:r>
        <w:rPr>
          <w:rFonts w:ascii="宋体" w:eastAsia="仿宋_GB2312" w:cs="宋体"/>
          <w:color w:val="auto"/>
          <w:kern w:val="0"/>
          <w:sz w:val="32"/>
          <w:szCs w:val="32"/>
        </w:rPr>
        <w:t xml:space="preserve"> </w:t>
      </w:r>
      <w:r>
        <w:rPr>
          <w:rFonts w:hint="eastAsia" w:ascii="宋体" w:hAnsi="宋体" w:eastAsia="仿宋_GB2312" w:cs="仿宋_GB2312"/>
          <w:color w:val="auto"/>
          <w:kern w:val="0"/>
          <w:sz w:val="32"/>
          <w:szCs w:val="32"/>
          <w:lang w:eastAsia="zh-CN"/>
        </w:rPr>
        <w:t>各级财政部门负责制定罚没财物管理制度，指导、监督本行政区内各有关单位的罚没财物管理工作。</w:t>
      </w:r>
    </w:p>
    <w:p>
      <w:pPr>
        <w:widowControl/>
        <w:shd w:val="clear" w:color="auto" w:fill="FFFFFF"/>
        <w:spacing w:line="600" w:lineRule="exact"/>
        <w:ind w:firstLine="64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lang w:eastAsia="zh-CN"/>
        </w:rPr>
        <w:t>各级</w:t>
      </w:r>
      <w:r>
        <w:rPr>
          <w:rFonts w:hint="eastAsia" w:ascii="宋体" w:hAnsi="宋体" w:eastAsia="仿宋_GB2312" w:cs="仿宋_GB2312"/>
          <w:color w:val="auto"/>
          <w:kern w:val="0"/>
          <w:sz w:val="32"/>
          <w:szCs w:val="32"/>
        </w:rPr>
        <w:t>执法机关、政府公物仓等单位负责制定</w:t>
      </w:r>
      <w:r>
        <w:rPr>
          <w:rFonts w:hint="eastAsia" w:ascii="黑体" w:hAnsi="黑体" w:eastAsia="黑体" w:cs="黑体"/>
          <w:color w:val="auto"/>
          <w:kern w:val="0"/>
          <w:sz w:val="32"/>
          <w:szCs w:val="32"/>
          <w:lang w:eastAsia="zh-CN"/>
        </w:rPr>
        <w:t>本系统、</w:t>
      </w:r>
      <w:r>
        <w:rPr>
          <w:rFonts w:hint="eastAsia" w:ascii="宋体" w:hAnsi="宋体" w:eastAsia="仿宋_GB2312" w:cs="仿宋_GB2312"/>
          <w:color w:val="auto"/>
          <w:kern w:val="0"/>
          <w:sz w:val="32"/>
          <w:szCs w:val="32"/>
        </w:rPr>
        <w:t>本单位罚没财物管理</w:t>
      </w:r>
      <w:r>
        <w:rPr>
          <w:rFonts w:hint="eastAsia" w:ascii="黑体" w:hAnsi="黑体" w:eastAsia="黑体" w:cs="黑体"/>
          <w:color w:val="auto"/>
          <w:kern w:val="0"/>
          <w:sz w:val="32"/>
          <w:szCs w:val="32"/>
          <w:lang w:eastAsia="zh-CN"/>
        </w:rPr>
        <w:t>具体实施办法或</w:t>
      </w:r>
      <w:r>
        <w:rPr>
          <w:rFonts w:hint="eastAsia" w:ascii="宋体" w:hAnsi="宋体" w:eastAsia="仿宋_GB2312" w:cs="仿宋_GB2312"/>
          <w:color w:val="auto"/>
          <w:kern w:val="0"/>
          <w:sz w:val="32"/>
          <w:szCs w:val="32"/>
        </w:rPr>
        <w:t>操作规范，并在职责范围内对罚没财物管理履行主体责任。</w:t>
      </w:r>
    </w:p>
    <w:p>
      <w:pPr>
        <w:widowControl/>
        <w:shd w:val="clear" w:color="auto" w:fill="FFFFFF"/>
        <w:spacing w:line="600" w:lineRule="exact"/>
        <w:ind w:firstLine="642" w:firstLineChars="200"/>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六</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执法机关、政府公物仓应当运用信息化手段，建立来源去向明晰、管理全程可控、全面接受监督的</w:t>
      </w:r>
      <w:r>
        <w:rPr>
          <w:rFonts w:hint="eastAsia" w:ascii="黑体" w:hAnsi="黑体" w:eastAsia="黑体" w:cs="黑体"/>
          <w:color w:val="auto"/>
          <w:kern w:val="0"/>
          <w:sz w:val="32"/>
          <w:szCs w:val="32"/>
          <w:lang w:eastAsia="zh-CN"/>
        </w:rPr>
        <w:t>罚没财物</w:t>
      </w:r>
      <w:r>
        <w:rPr>
          <w:rFonts w:hint="eastAsia" w:ascii="宋体" w:hAnsi="宋体" w:eastAsia="仿宋_GB2312" w:cs="仿宋_GB2312"/>
          <w:color w:val="auto"/>
          <w:kern w:val="0"/>
          <w:sz w:val="32"/>
          <w:szCs w:val="32"/>
        </w:rPr>
        <w:t>管理信息系统</w:t>
      </w:r>
      <w:r>
        <w:rPr>
          <w:rFonts w:hint="eastAsia" w:ascii="宋体" w:hAnsi="宋体" w:eastAsia="仿宋_GB2312" w:cs="仿宋_GB2312"/>
          <w:color w:val="auto"/>
          <w:kern w:val="0"/>
          <w:sz w:val="32"/>
          <w:szCs w:val="32"/>
          <w:lang w:eastAsia="zh-CN"/>
        </w:rPr>
        <w:t>，</w:t>
      </w:r>
      <w:r>
        <w:rPr>
          <w:rFonts w:hint="eastAsia" w:ascii="宋体" w:hAnsi="宋体" w:eastAsia="仿宋_GB2312" w:cs="仿宋_GB2312"/>
          <w:color w:val="auto"/>
          <w:kern w:val="0"/>
          <w:sz w:val="32"/>
          <w:szCs w:val="32"/>
        </w:rPr>
        <w:t>逐步与财政</w:t>
      </w:r>
      <w:r>
        <w:rPr>
          <w:rFonts w:hint="eastAsia" w:ascii="宋体" w:hAnsi="宋体" w:eastAsia="仿宋_GB2312" w:cs="仿宋_GB2312"/>
          <w:color w:val="auto"/>
          <w:kern w:val="0"/>
          <w:sz w:val="32"/>
          <w:szCs w:val="32"/>
          <w:lang w:eastAsia="zh-CN"/>
        </w:rPr>
        <w:t>部门</w:t>
      </w:r>
      <w:r>
        <w:rPr>
          <w:rFonts w:hint="eastAsia" w:ascii="宋体" w:hAnsi="宋体" w:eastAsia="仿宋_GB2312" w:cs="仿宋_GB2312"/>
          <w:color w:val="auto"/>
          <w:kern w:val="0"/>
          <w:sz w:val="32"/>
          <w:szCs w:val="32"/>
        </w:rPr>
        <w:t>的非税收入收缴系统等平台对接，实现互联互通和信息共享。</w:t>
      </w:r>
    </w:p>
    <w:p>
      <w:pPr>
        <w:widowControl/>
        <w:shd w:val="clear" w:color="auto" w:fill="FFFFFF"/>
        <w:spacing w:line="600" w:lineRule="exact"/>
        <w:jc w:val="center"/>
        <w:rPr>
          <w:rFonts w:hint="eastAsia" w:ascii="宋体" w:hAnsi="宋体" w:eastAsia="楷体_GB2312" w:cs="楷体_GB2312"/>
          <w:b/>
          <w:bCs/>
          <w:color w:val="auto"/>
          <w:kern w:val="0"/>
          <w:sz w:val="32"/>
          <w:szCs w:val="32"/>
        </w:rPr>
      </w:pPr>
    </w:p>
    <w:p>
      <w:pPr>
        <w:widowControl/>
        <w:shd w:val="clear" w:color="auto" w:fill="FFFFFF"/>
        <w:spacing w:line="600" w:lineRule="exact"/>
        <w:jc w:val="center"/>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第二章</w:t>
      </w:r>
      <w:r>
        <w:rPr>
          <w:rFonts w:ascii="宋体" w:hAnsi="宋体" w:eastAsia="楷体_GB2312" w:cs="宋体"/>
          <w:b/>
          <w:bCs/>
          <w:color w:val="auto"/>
          <w:kern w:val="0"/>
          <w:sz w:val="32"/>
          <w:szCs w:val="32"/>
        </w:rPr>
        <w:t xml:space="preserve"> </w:t>
      </w:r>
      <w:r>
        <w:rPr>
          <w:rFonts w:ascii="宋体" w:eastAsia="楷体_GB2312" w:cs="Times New Roman"/>
          <w:b/>
          <w:bCs/>
          <w:color w:val="auto"/>
          <w:kern w:val="0"/>
          <w:sz w:val="32"/>
          <w:szCs w:val="32"/>
        </w:rPr>
        <w:t> </w:t>
      </w:r>
      <w:r>
        <w:rPr>
          <w:rFonts w:hint="eastAsia" w:ascii="宋体" w:hAnsi="宋体" w:eastAsia="楷体_GB2312" w:cs="楷体_GB2312"/>
          <w:b/>
          <w:bCs/>
          <w:color w:val="auto"/>
          <w:kern w:val="0"/>
          <w:sz w:val="32"/>
          <w:szCs w:val="32"/>
        </w:rPr>
        <w:t>移交和保管</w:t>
      </w:r>
    </w:p>
    <w:p>
      <w:pPr>
        <w:spacing w:line="590" w:lineRule="exact"/>
        <w:ind w:firstLine="642" w:firstLineChars="200"/>
        <w:rPr>
          <w:rFonts w:hint="eastAsia" w:ascii="宋体" w:hAnsi="宋体" w:eastAsia="仿宋_GB2312" w:cs="仿宋_GB2312"/>
          <w:color w:val="auto"/>
          <w:kern w:val="0"/>
          <w:sz w:val="32"/>
          <w:szCs w:val="32"/>
          <w:lang w:eastAsia="zh-CN"/>
        </w:rPr>
      </w:pP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七</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 xml:space="preserve"> </w:t>
      </w:r>
      <w:r>
        <w:rPr>
          <w:rFonts w:hint="eastAsia" w:ascii="宋体" w:hAnsi="宋体" w:eastAsia="仿宋_GB2312" w:cs="仿宋_GB2312"/>
          <w:color w:val="auto"/>
          <w:kern w:val="0"/>
          <w:sz w:val="32"/>
          <w:szCs w:val="32"/>
          <w:lang w:eastAsia="zh-CN"/>
        </w:rPr>
        <w:t>有条件的部门和地区可以设置政府公物仓对罚没物品实行集中管理。</w:t>
      </w:r>
      <w:r>
        <w:rPr>
          <w:rFonts w:hint="eastAsia" w:ascii="宋体" w:hAnsi="宋体" w:eastAsia="仿宋_GB2312" w:cs="仿宋_GB2312"/>
          <w:color w:val="auto"/>
          <w:kern w:val="0"/>
          <w:sz w:val="32"/>
          <w:szCs w:val="32"/>
        </w:rPr>
        <w:t>未设置政府公物仓</w:t>
      </w:r>
      <w:r>
        <w:rPr>
          <w:rFonts w:hint="eastAsia" w:ascii="宋体" w:hAnsi="宋体" w:eastAsia="仿宋_GB2312" w:cs="仿宋_GB2312"/>
          <w:color w:val="auto"/>
          <w:kern w:val="0"/>
          <w:sz w:val="32"/>
          <w:szCs w:val="32"/>
          <w:lang w:eastAsia="zh-CN"/>
        </w:rPr>
        <w:t>的</w:t>
      </w:r>
      <w:r>
        <w:rPr>
          <w:rFonts w:hint="eastAsia" w:ascii="宋体" w:hAnsi="宋体" w:eastAsia="仿宋_GB2312" w:cs="仿宋_GB2312"/>
          <w:color w:val="auto"/>
          <w:kern w:val="0"/>
          <w:sz w:val="32"/>
          <w:szCs w:val="32"/>
        </w:rPr>
        <w:t>，</w:t>
      </w:r>
      <w:r>
        <w:rPr>
          <w:rFonts w:hint="eastAsia" w:ascii="黑体" w:hAnsi="黑体" w:eastAsia="黑体" w:cs="黑体"/>
          <w:color w:val="auto"/>
          <w:kern w:val="0"/>
          <w:sz w:val="32"/>
          <w:szCs w:val="32"/>
          <w:lang w:eastAsia="zh-CN"/>
        </w:rPr>
        <w:t>或政府公物仓设施设备未达到罚没物品管理要求的，</w:t>
      </w:r>
      <w:r>
        <w:rPr>
          <w:rFonts w:hint="eastAsia" w:ascii="宋体" w:hAnsi="宋体" w:eastAsia="仿宋_GB2312" w:cs="仿宋_GB2312"/>
          <w:color w:val="auto"/>
          <w:kern w:val="0"/>
          <w:sz w:val="32"/>
          <w:szCs w:val="32"/>
        </w:rPr>
        <w:t>由执法机关对罚没物品进行管理。</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color w:val="auto"/>
          <w:kern w:val="0"/>
          <w:sz w:val="32"/>
          <w:szCs w:val="32"/>
          <w:lang w:eastAsia="zh-CN"/>
        </w:rPr>
        <w:t>各级</w:t>
      </w:r>
      <w:r>
        <w:rPr>
          <w:rFonts w:hint="eastAsia" w:ascii="宋体" w:hAnsi="宋体" w:eastAsia="仿宋_GB2312" w:cs="仿宋_GB2312"/>
          <w:color w:val="auto"/>
          <w:kern w:val="0"/>
          <w:sz w:val="32"/>
          <w:szCs w:val="32"/>
        </w:rPr>
        <w:t>执法机关、政府公物仓按照安全、高效、便捷和节约的原则，使用下列罚没仓库存放保管罚没物品：</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（一）执法机关罚没物品保管仓库；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（二）政府公物仓库；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（三）通过购买服务等方式选择社会仓库。</w:t>
      </w:r>
    </w:p>
    <w:p>
      <w:pPr>
        <w:widowControl/>
        <w:shd w:val="clear" w:color="auto" w:fill="FFFFFF"/>
        <w:spacing w:line="600" w:lineRule="exact"/>
        <w:ind w:firstLine="642" w:firstLineChars="200"/>
        <w:rPr>
          <w:rFonts w:hint="eastAsia" w:ascii="黑体" w:hAnsi="黑体" w:eastAsia="黑体" w:cs="黑体"/>
          <w:color w:val="auto"/>
          <w:kern w:val="0"/>
          <w:sz w:val="32"/>
          <w:szCs w:val="32"/>
          <w:lang w:eastAsia="zh-CN"/>
        </w:rPr>
      </w:pP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八</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ascii="宋体" w:eastAsia="仿宋_GB2312" w:cs="宋体"/>
          <w:color w:val="auto"/>
          <w:kern w:val="0"/>
          <w:sz w:val="32"/>
          <w:szCs w:val="32"/>
        </w:rPr>
        <w:t xml:space="preserve"> </w:t>
      </w:r>
      <w:r>
        <w:rPr>
          <w:rFonts w:hint="eastAsia" w:ascii="黑体" w:hAnsi="黑体" w:eastAsia="黑体" w:cs="黑体"/>
          <w:color w:val="auto"/>
          <w:kern w:val="0"/>
          <w:sz w:val="32"/>
          <w:szCs w:val="32"/>
        </w:rPr>
        <w:t>执法机关应当根据行政处罚决定，没收、追缴决定，法院生效裁定、判决或者公告</w:t>
      </w:r>
      <w:r>
        <w:rPr>
          <w:rFonts w:hint="eastAsia" w:ascii="黑体" w:hAnsi="黑体" w:eastAsia="黑体" w:cs="黑体"/>
          <w:color w:val="auto"/>
          <w:kern w:val="0"/>
          <w:sz w:val="32"/>
          <w:szCs w:val="32"/>
          <w:lang w:eastAsia="zh-CN"/>
        </w:rPr>
        <w:t>期</w:t>
      </w:r>
      <w:r>
        <w:rPr>
          <w:rFonts w:hint="eastAsia" w:ascii="黑体" w:hAnsi="黑体" w:eastAsia="黑体" w:cs="黑体"/>
          <w:color w:val="auto"/>
          <w:kern w:val="0"/>
          <w:sz w:val="32"/>
          <w:szCs w:val="32"/>
        </w:rPr>
        <w:t>满</w:t>
      </w:r>
      <w:r>
        <w:rPr>
          <w:rFonts w:hint="eastAsia" w:ascii="黑体" w:hAnsi="黑体" w:eastAsia="黑体" w:cs="黑体"/>
          <w:color w:val="auto"/>
          <w:kern w:val="0"/>
          <w:sz w:val="32"/>
          <w:szCs w:val="32"/>
          <w:lang w:eastAsia="zh-CN"/>
        </w:rPr>
        <w:t>后，依法依规收缴罚没物品，并在收缴罚没物品后</w:t>
      </w:r>
      <w:r>
        <w:rPr>
          <w:rFonts w:hint="eastAsia" w:ascii="黑体" w:hAnsi="黑体" w:eastAsia="黑体" w:cs="黑体"/>
          <w:color w:val="auto"/>
          <w:kern w:val="0"/>
          <w:sz w:val="32"/>
          <w:szCs w:val="32"/>
        </w:rPr>
        <w:t>5个工作日内移交至罚没仓库。</w:t>
      </w:r>
      <w:r>
        <w:rPr>
          <w:rFonts w:hint="eastAsia" w:ascii="黑体" w:hAnsi="黑体" w:eastAsia="黑体" w:cs="黑体"/>
          <w:color w:val="auto"/>
          <w:kern w:val="0"/>
          <w:sz w:val="32"/>
          <w:szCs w:val="32"/>
          <w:lang w:eastAsia="zh-CN"/>
        </w:rPr>
        <w:t>罚没物品如属于大型机械设备、大宗生产生活资料等不易移动的物品，</w:t>
      </w:r>
      <w:r>
        <w:rPr>
          <w:rFonts w:hint="eastAsia" w:ascii="黑体" w:hAnsi="黑体" w:eastAsia="黑体" w:cs="黑体"/>
          <w:color w:val="auto"/>
          <w:kern w:val="0"/>
          <w:sz w:val="32"/>
          <w:szCs w:val="32"/>
        </w:rPr>
        <w:t>应</w:t>
      </w:r>
      <w:r>
        <w:rPr>
          <w:rFonts w:hint="eastAsia" w:ascii="黑体" w:hAnsi="黑体" w:eastAsia="黑体" w:cs="黑体"/>
          <w:color w:val="auto"/>
          <w:kern w:val="0"/>
          <w:sz w:val="32"/>
          <w:szCs w:val="32"/>
          <w:lang w:eastAsia="zh-CN"/>
        </w:rPr>
        <w:t>在</w:t>
      </w:r>
      <w:r>
        <w:rPr>
          <w:rFonts w:hint="eastAsia" w:ascii="黑体" w:hAnsi="黑体" w:eastAsia="黑体" w:cs="黑体"/>
          <w:color w:val="auto"/>
          <w:kern w:val="0"/>
          <w:sz w:val="32"/>
          <w:szCs w:val="32"/>
        </w:rPr>
        <w:t>5个工作日内将</w:t>
      </w:r>
      <w:r>
        <w:rPr>
          <w:rFonts w:hint="eastAsia" w:ascii="黑体" w:hAnsi="黑体" w:eastAsia="黑体" w:cs="黑体"/>
          <w:color w:val="auto"/>
          <w:kern w:val="0"/>
          <w:sz w:val="32"/>
          <w:szCs w:val="32"/>
          <w:lang w:eastAsia="zh-CN"/>
        </w:rPr>
        <w:t>相关的必要证明文件、资料</w:t>
      </w:r>
      <w:r>
        <w:rPr>
          <w:rFonts w:hint="eastAsia" w:ascii="黑体" w:hAnsi="黑体" w:eastAsia="黑体" w:cs="黑体"/>
          <w:color w:val="auto"/>
          <w:kern w:val="0"/>
          <w:sz w:val="32"/>
          <w:szCs w:val="32"/>
        </w:rPr>
        <w:t>移交至罚没仓库。</w:t>
      </w:r>
    </w:p>
    <w:p>
      <w:pPr>
        <w:widowControl/>
        <w:shd w:val="clear" w:color="auto" w:fill="FFFFFF"/>
        <w:spacing w:line="600" w:lineRule="exact"/>
        <w:ind w:firstLine="640" w:firstLineChars="20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设置政府公物仓</w:t>
      </w:r>
      <w:r>
        <w:rPr>
          <w:rFonts w:hint="eastAsia" w:ascii="宋体" w:hAnsi="宋体" w:eastAsia="仿宋_GB2312" w:cs="仿宋_GB2312"/>
          <w:color w:val="auto"/>
          <w:kern w:val="0"/>
          <w:sz w:val="32"/>
          <w:szCs w:val="32"/>
          <w:lang w:eastAsia="zh-CN"/>
        </w:rPr>
        <w:t>，</w:t>
      </w:r>
      <w:r>
        <w:rPr>
          <w:rFonts w:hint="eastAsia" w:ascii="黑体" w:hAnsi="黑体" w:eastAsia="黑体" w:cs="黑体"/>
          <w:color w:val="auto"/>
          <w:kern w:val="0"/>
          <w:sz w:val="32"/>
          <w:szCs w:val="32"/>
          <w:lang w:eastAsia="zh-CN"/>
        </w:rPr>
        <w:t>且政府公物仓达到罚没物品管理要求</w:t>
      </w:r>
      <w:r>
        <w:rPr>
          <w:rFonts w:hint="eastAsia" w:ascii="宋体" w:hAnsi="宋体" w:eastAsia="仿宋_GB2312" w:cs="仿宋_GB2312"/>
          <w:color w:val="auto"/>
          <w:kern w:val="0"/>
          <w:sz w:val="32"/>
          <w:szCs w:val="32"/>
          <w:lang w:eastAsia="zh-CN"/>
        </w:rPr>
        <w:t>的地区</w:t>
      </w:r>
      <w:r>
        <w:rPr>
          <w:rFonts w:hint="eastAsia" w:ascii="宋体" w:hAnsi="宋体" w:eastAsia="仿宋_GB2312" w:cs="仿宋_GB2312"/>
          <w:color w:val="auto"/>
          <w:kern w:val="0"/>
          <w:sz w:val="32"/>
          <w:szCs w:val="32"/>
        </w:rPr>
        <w:t>，</w:t>
      </w:r>
      <w:r>
        <w:rPr>
          <w:rFonts w:hint="eastAsia" w:ascii="黑体" w:hAnsi="黑体" w:eastAsia="黑体" w:cs="黑体"/>
          <w:color w:val="auto"/>
          <w:kern w:val="0"/>
          <w:sz w:val="32"/>
          <w:szCs w:val="32"/>
        </w:rPr>
        <w:t>执法机关</w:t>
      </w:r>
      <w:r>
        <w:rPr>
          <w:rFonts w:hint="eastAsia" w:ascii="黑体" w:hAnsi="黑体" w:eastAsia="黑体" w:cs="黑体"/>
          <w:color w:val="auto"/>
          <w:kern w:val="0"/>
          <w:sz w:val="32"/>
          <w:szCs w:val="32"/>
          <w:lang w:eastAsia="zh-CN"/>
        </w:rPr>
        <w:t>应当在</w:t>
      </w:r>
      <w:r>
        <w:rPr>
          <w:rFonts w:hint="eastAsia" w:ascii="黑体" w:hAnsi="黑体" w:eastAsia="黑体" w:cs="黑体"/>
          <w:color w:val="auto"/>
          <w:kern w:val="0"/>
          <w:sz w:val="32"/>
          <w:szCs w:val="32"/>
          <w:lang w:val="en-US" w:eastAsia="zh-CN"/>
        </w:rPr>
        <w:t>5个工作日内将收缴的</w:t>
      </w:r>
      <w:r>
        <w:rPr>
          <w:rFonts w:hint="eastAsia" w:ascii="宋体" w:hAnsi="宋体" w:eastAsia="仿宋_GB2312" w:cs="仿宋_GB2312"/>
          <w:color w:val="auto"/>
          <w:kern w:val="0"/>
          <w:sz w:val="32"/>
          <w:szCs w:val="32"/>
          <w:lang w:val="en-US" w:eastAsia="zh-CN"/>
        </w:rPr>
        <w:t>罚没物品</w:t>
      </w:r>
      <w:r>
        <w:rPr>
          <w:rFonts w:hint="eastAsia" w:ascii="宋体" w:hAnsi="宋体" w:eastAsia="仿宋_GB2312" w:cs="仿宋_GB2312"/>
          <w:color w:val="auto"/>
          <w:kern w:val="0"/>
          <w:sz w:val="32"/>
          <w:szCs w:val="32"/>
        </w:rPr>
        <w:t>及其他必要的证明文件、材料，移送至政府公物仓，并向</w:t>
      </w:r>
      <w:r>
        <w:rPr>
          <w:rFonts w:hint="eastAsia" w:ascii="宋体" w:hAnsi="宋体" w:eastAsia="仿宋_GB2312" w:cs="仿宋_GB2312"/>
          <w:color w:val="auto"/>
          <w:kern w:val="0"/>
          <w:sz w:val="32"/>
          <w:szCs w:val="32"/>
          <w:lang w:eastAsia="zh-CN"/>
        </w:rPr>
        <w:t>财政部门</w:t>
      </w:r>
      <w:r>
        <w:rPr>
          <w:rFonts w:hint="eastAsia" w:ascii="宋体" w:hAnsi="宋体" w:eastAsia="仿宋_GB2312" w:cs="仿宋_GB2312"/>
          <w:color w:val="auto"/>
          <w:kern w:val="0"/>
          <w:sz w:val="32"/>
          <w:szCs w:val="32"/>
        </w:rPr>
        <w:t>备案。</w:t>
      </w:r>
    </w:p>
    <w:p>
      <w:pPr>
        <w:widowControl/>
        <w:shd w:val="clear" w:color="auto" w:fill="FFFFFF"/>
        <w:spacing w:line="600" w:lineRule="exact"/>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　　</w:t>
      </w:r>
      <w:r>
        <w:rPr>
          <w:rFonts w:hint="eastAsia" w:ascii="黑体" w:hAnsi="黑体" w:eastAsia="黑体" w:cs="黑体"/>
          <w:color w:val="auto"/>
          <w:kern w:val="0"/>
          <w:sz w:val="32"/>
          <w:szCs w:val="32"/>
        </w:rPr>
        <w:t>异地收缴或者在偏远、交通不便地区收缴罚没物品的，执法机关在返回本单位后5个工作日内</w:t>
      </w:r>
      <w:r>
        <w:rPr>
          <w:rFonts w:hint="eastAsia" w:ascii="黑体" w:hAnsi="黑体" w:eastAsia="黑体" w:cs="黑体"/>
          <w:color w:val="auto"/>
          <w:kern w:val="0"/>
          <w:sz w:val="32"/>
          <w:szCs w:val="32"/>
          <w:lang w:eastAsia="zh-CN"/>
        </w:rPr>
        <w:t>移交至罚没仓库</w:t>
      </w:r>
      <w:r>
        <w:rPr>
          <w:rFonts w:hint="eastAsia" w:ascii="黑体" w:hAnsi="黑体" w:eastAsia="黑体" w:cs="黑体"/>
          <w:color w:val="auto"/>
          <w:kern w:val="0"/>
          <w:sz w:val="32"/>
          <w:szCs w:val="32"/>
        </w:rPr>
        <w:t>。</w:t>
      </w:r>
    </w:p>
    <w:p>
      <w:pPr>
        <w:widowControl/>
        <w:shd w:val="clear" w:color="auto" w:fill="FFFFFF"/>
        <w:spacing w:line="600" w:lineRule="exact"/>
        <w:ind w:firstLine="642" w:firstLineChars="200"/>
        <w:rPr>
          <w:rFonts w:ascii="宋体" w:eastAsia="仿宋_GB2312" w:cs="Times New Roman"/>
          <w:color w:val="auto"/>
          <w:kern w:val="0"/>
          <w:sz w:val="32"/>
          <w:szCs w:val="32"/>
        </w:rPr>
      </w:pP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九</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罚没仓库的保管条件、保管措施、管理方式应当满足防火、防水、防腐、防疫、防盗等基础安全要求，符合被保管罚没物品的特性。应当安装视频监控、防盗报警等安全设备。</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十</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执法机关、政府公物仓应当建立健全罚没物品保管制度，规范业务流程和单据管理，具体包括：</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（一）建立台账制度，对接管的罚没物品必须造册、登记，清楚、准确、全面反映罚没物品的主要属性和特点，完整记录从入库到处置全过程。</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（二）建立分类保管制度，对不同种类的罚没物品，应当分类保管。对文物、文化艺术品、贵金属、珠宝等贵重罚没物品，应当做到移交、入库、保管、出库全程录音录像，并做好密封工作。</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（三）建立安全保卫制度，落实人员责任，确保物品妥善保管。</w:t>
      </w:r>
    </w:p>
    <w:p>
      <w:pPr>
        <w:widowControl/>
        <w:shd w:val="clear" w:color="auto" w:fill="FFFFFF"/>
        <w:spacing w:line="600" w:lineRule="exact"/>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　　（四）建立清查盘存制度，做到账实一致，定期向财政</w:t>
      </w:r>
      <w:r>
        <w:rPr>
          <w:rFonts w:hint="eastAsia" w:ascii="宋体" w:hAnsi="宋体" w:eastAsia="仿宋_GB2312" w:cs="仿宋_GB2312"/>
          <w:color w:val="auto"/>
          <w:kern w:val="0"/>
          <w:sz w:val="32"/>
          <w:szCs w:val="32"/>
          <w:lang w:eastAsia="zh-CN"/>
        </w:rPr>
        <w:t>部门</w:t>
      </w:r>
      <w:r>
        <w:rPr>
          <w:rFonts w:hint="eastAsia" w:ascii="宋体" w:hAnsi="宋体" w:eastAsia="仿宋_GB2312" w:cs="仿宋_GB2312"/>
          <w:color w:val="auto"/>
          <w:kern w:val="0"/>
          <w:sz w:val="32"/>
          <w:szCs w:val="32"/>
        </w:rPr>
        <w:t>报告罚没物品管理情况。</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十一</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罚没仓库应当凭经执法机关或者政府公物仓按管理职责批准的书面文件或者单证办理出库手续，并在登记的出库清单上列明，由经办人与提货人共同签名确认，确保出库清单与批准文件、出库罚没物品一致。</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罚没仓库无正当理由不得妨碍符合出库规定和手续的罚没物品出库。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p>
    <w:p>
      <w:pPr>
        <w:widowControl/>
        <w:shd w:val="clear" w:color="auto" w:fill="FFFFFF"/>
        <w:spacing w:line="600" w:lineRule="exact"/>
        <w:jc w:val="center"/>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第三章</w:t>
      </w:r>
      <w:r>
        <w:rPr>
          <w:rFonts w:ascii="宋体" w:hAnsi="宋体" w:eastAsia="楷体_GB2312" w:cs="宋体"/>
          <w:b/>
          <w:bCs/>
          <w:color w:val="auto"/>
          <w:kern w:val="0"/>
          <w:sz w:val="32"/>
          <w:szCs w:val="32"/>
        </w:rPr>
        <w:t xml:space="preserve"> </w:t>
      </w:r>
      <w:r>
        <w:rPr>
          <w:rFonts w:ascii="宋体" w:eastAsia="楷体_GB2312" w:cs="Times New Roman"/>
          <w:b/>
          <w:bCs/>
          <w:color w:val="auto"/>
          <w:kern w:val="0"/>
          <w:sz w:val="32"/>
          <w:szCs w:val="32"/>
        </w:rPr>
        <w:t> </w:t>
      </w:r>
      <w:r>
        <w:rPr>
          <w:rFonts w:hint="eastAsia" w:ascii="宋体" w:hAnsi="宋体" w:eastAsia="楷体_GB2312" w:cs="楷体_GB2312"/>
          <w:b/>
          <w:bCs/>
          <w:color w:val="auto"/>
          <w:kern w:val="0"/>
          <w:sz w:val="32"/>
          <w:szCs w:val="32"/>
        </w:rPr>
        <w:t>罚没财物处置</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二</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罚没财物的处置应当遵循公开、公平、公正原则，依法分类、定期处置，提高处置效率，降低仓储成本和处置成本，实现处置价值最大化。</w:t>
      </w:r>
    </w:p>
    <w:p>
      <w:pPr>
        <w:widowControl/>
        <w:shd w:val="clear" w:color="auto" w:fill="FFFFFF"/>
        <w:spacing w:line="600" w:lineRule="exact"/>
        <w:ind w:firstLine="643"/>
        <w:rPr>
          <w:rFonts w:hint="eastAsia" w:ascii="宋体" w:hAnsi="宋体" w:eastAsia="仿宋_GB2312" w:cs="仿宋_GB2312"/>
          <w:color w:val="auto"/>
          <w:kern w:val="0"/>
          <w:sz w:val="32"/>
          <w:szCs w:val="32"/>
          <w:lang w:eastAsia="zh-CN"/>
        </w:rPr>
      </w:pP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三</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执法机关、政府公物仓应当依照法律法规和</w:t>
      </w:r>
      <w:r>
        <w:rPr>
          <w:rFonts w:hint="eastAsia" w:ascii="宋体" w:hAnsi="宋体" w:eastAsia="仿宋_GB2312" w:cs="仿宋_GB2312"/>
          <w:color w:val="auto"/>
          <w:kern w:val="0"/>
          <w:sz w:val="32"/>
          <w:szCs w:val="32"/>
          <w:lang w:eastAsia="zh-CN"/>
        </w:rPr>
        <w:t>本级人民</w:t>
      </w:r>
      <w:r>
        <w:rPr>
          <w:rFonts w:hint="eastAsia" w:ascii="宋体" w:hAnsi="宋体" w:eastAsia="仿宋_GB2312" w:cs="仿宋_GB2312"/>
          <w:color w:val="auto"/>
          <w:kern w:val="0"/>
          <w:sz w:val="32"/>
          <w:szCs w:val="32"/>
        </w:rPr>
        <w:t>政府规定的权限，</w:t>
      </w:r>
      <w:r>
        <w:rPr>
          <w:rFonts w:hint="eastAsia" w:ascii="宋体" w:hAnsi="宋体" w:eastAsia="仿宋_GB2312" w:cs="仿宋_GB2312"/>
          <w:color w:val="auto"/>
          <w:kern w:val="0"/>
          <w:sz w:val="32"/>
          <w:szCs w:val="32"/>
          <w:lang w:eastAsia="zh-CN"/>
        </w:rPr>
        <w:t>按规定</w:t>
      </w:r>
      <w:r>
        <w:rPr>
          <w:rFonts w:hint="eastAsia" w:ascii="黑体" w:hAnsi="黑体" w:eastAsia="黑体" w:cs="黑体"/>
          <w:color w:val="auto"/>
          <w:kern w:val="0"/>
          <w:sz w:val="32"/>
          <w:szCs w:val="32"/>
          <w:lang w:eastAsia="zh-CN"/>
        </w:rPr>
        <w:t>及时</w:t>
      </w:r>
      <w:r>
        <w:rPr>
          <w:rFonts w:hint="eastAsia" w:ascii="宋体" w:hAnsi="宋体" w:eastAsia="仿宋_GB2312" w:cs="仿宋_GB2312"/>
          <w:color w:val="auto"/>
          <w:kern w:val="0"/>
          <w:sz w:val="32"/>
          <w:szCs w:val="32"/>
          <w:lang w:eastAsia="zh-CN"/>
        </w:rPr>
        <w:t>处置罚没财物。</w:t>
      </w:r>
    </w:p>
    <w:p>
      <w:pPr>
        <w:widowControl/>
        <w:shd w:val="clear" w:color="auto" w:fill="FFFFFF"/>
        <w:spacing w:line="600" w:lineRule="exact"/>
        <w:ind w:firstLine="643"/>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lang w:eastAsia="zh-CN"/>
        </w:rPr>
        <w:t>各级财政部门</w:t>
      </w:r>
      <w:r>
        <w:rPr>
          <w:rFonts w:hint="eastAsia" w:ascii="宋体" w:hAnsi="宋体" w:eastAsia="仿宋_GB2312" w:cs="仿宋_GB2312"/>
          <w:color w:val="auto"/>
          <w:kern w:val="0"/>
          <w:sz w:val="32"/>
          <w:szCs w:val="32"/>
        </w:rPr>
        <w:t>会同有关部门对罚没财物处置、收入收缴等进行监督</w:t>
      </w:r>
      <w:r>
        <w:rPr>
          <w:rFonts w:hint="eastAsia" w:ascii="宋体" w:hAnsi="宋体" w:eastAsia="仿宋_GB2312" w:cs="仿宋_GB2312"/>
          <w:color w:val="auto"/>
          <w:kern w:val="0"/>
          <w:sz w:val="32"/>
          <w:szCs w:val="32"/>
          <w:lang w:eastAsia="zh-CN"/>
        </w:rPr>
        <w:t>，建立处置审批和备案制度。</w:t>
      </w:r>
    </w:p>
    <w:p>
      <w:pPr>
        <w:widowControl/>
        <w:shd w:val="clear" w:color="auto" w:fill="FFFFFF"/>
        <w:spacing w:line="600" w:lineRule="exact"/>
        <w:ind w:firstLine="643"/>
        <w:rPr>
          <w:rFonts w:hint="eastAsia" w:ascii="黑体" w:hAnsi="黑体" w:eastAsia="黑体" w:cs="黑体"/>
          <w:color w:val="auto"/>
          <w:kern w:val="0"/>
          <w:sz w:val="32"/>
          <w:szCs w:val="32"/>
          <w:lang w:eastAsia="zh-CN"/>
        </w:rPr>
      </w:pP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四</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除法律法规另有规定外，</w:t>
      </w:r>
      <w:r>
        <w:rPr>
          <w:rFonts w:hint="eastAsia" w:ascii="黑体" w:hAnsi="黑体" w:eastAsia="黑体" w:cs="黑体"/>
          <w:color w:val="auto"/>
          <w:kern w:val="0"/>
          <w:sz w:val="32"/>
          <w:szCs w:val="32"/>
          <w:lang w:eastAsia="zh-CN"/>
        </w:rPr>
        <w:t>假冒伪劣、</w:t>
      </w:r>
      <w:r>
        <w:rPr>
          <w:rFonts w:hint="eastAsia" w:ascii="宋体" w:hAnsi="宋体" w:eastAsia="仿宋_GB2312" w:cs="仿宋_GB2312"/>
          <w:color w:val="auto"/>
          <w:kern w:val="0"/>
          <w:sz w:val="32"/>
          <w:szCs w:val="32"/>
        </w:rPr>
        <w:t>容易损毁、灭失、变质、保管困难或者保管费用过高、季节性商品等不宜长期保存的物品，长期不使用容易导致机械性能下降、价值贬损的车辆、船艇、电子产品等物品，以及有效期即将届满的汇票、本票、支票等，在确定为罚没财物前，经权利人同意或者申请，并经执法机关负责人批准，可以依法先行处置；权利人不明确的，可以依法公告，公告期满后仍没有权利人同意或者申请的，可以依法先行处置。先行处置所得款项按照涉案现金管理。</w:t>
      </w:r>
      <w:r>
        <w:rPr>
          <w:rFonts w:hint="eastAsia" w:ascii="黑体" w:hAnsi="黑体" w:eastAsia="黑体" w:cs="黑体"/>
          <w:color w:val="auto"/>
          <w:kern w:val="0"/>
          <w:sz w:val="32"/>
          <w:szCs w:val="32"/>
          <w:lang w:eastAsia="zh-CN"/>
        </w:rPr>
        <w:t>执法机关可结合实际制定先行处置具体管理措施。</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五</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罚没物品处置前存在破损、污秽等情形的，在有利于加快处置的情况下，且清理、修复费用低于变卖收入的，</w:t>
      </w:r>
      <w:r>
        <w:rPr>
          <w:rFonts w:hint="eastAsia" w:ascii="黑体" w:hAnsi="黑体" w:eastAsia="黑体" w:cs="黑体"/>
          <w:color w:val="auto"/>
          <w:kern w:val="0"/>
          <w:sz w:val="32"/>
          <w:szCs w:val="32"/>
          <w:lang w:eastAsia="zh-CN"/>
        </w:rPr>
        <w:t>执法机关</w:t>
      </w:r>
      <w:r>
        <w:rPr>
          <w:rFonts w:hint="eastAsia" w:ascii="宋体" w:hAnsi="宋体" w:eastAsia="仿宋_GB2312" w:cs="仿宋_GB2312"/>
          <w:color w:val="auto"/>
          <w:kern w:val="0"/>
          <w:sz w:val="32"/>
          <w:szCs w:val="32"/>
        </w:rPr>
        <w:t>可以</w:t>
      </w:r>
      <w:r>
        <w:rPr>
          <w:rFonts w:hint="eastAsia" w:ascii="黑体" w:hAnsi="黑体" w:eastAsia="黑体" w:cs="黑体"/>
          <w:color w:val="auto"/>
          <w:kern w:val="0"/>
          <w:sz w:val="32"/>
          <w:szCs w:val="32"/>
          <w:lang w:eastAsia="zh-CN"/>
        </w:rPr>
        <w:t>自行或委托专业机构</w:t>
      </w:r>
      <w:r>
        <w:rPr>
          <w:rFonts w:hint="eastAsia" w:ascii="宋体" w:hAnsi="宋体" w:eastAsia="仿宋_GB2312" w:cs="仿宋_GB2312"/>
          <w:color w:val="auto"/>
          <w:kern w:val="0"/>
          <w:sz w:val="32"/>
          <w:szCs w:val="32"/>
        </w:rPr>
        <w:t>进行适当清理、修复。</w:t>
      </w:r>
    </w:p>
    <w:p>
      <w:pPr>
        <w:widowControl/>
        <w:shd w:val="clear" w:color="auto" w:fill="FFFFFF"/>
        <w:spacing w:line="600" w:lineRule="exact"/>
        <w:ind w:firstLine="640"/>
        <w:rPr>
          <w:rFonts w:ascii="宋体" w:eastAsia="仿宋_GB2312" w:cs="Times New Roman"/>
          <w:color w:val="auto"/>
          <w:kern w:val="0"/>
          <w:sz w:val="32"/>
          <w:szCs w:val="32"/>
        </w:rPr>
      </w:pP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六</w:t>
      </w:r>
      <w:r>
        <w:rPr>
          <w:rFonts w:hint="eastAsia" w:ascii="宋体" w:hAnsi="宋体" w:eastAsia="仿宋_GB2312" w:cs="仿宋_GB2312"/>
          <w:b/>
          <w:bCs/>
          <w:color w:val="auto"/>
          <w:kern w:val="0"/>
          <w:sz w:val="32"/>
          <w:szCs w:val="32"/>
        </w:rPr>
        <w:t>条</w:t>
      </w:r>
      <w:r>
        <w:rPr>
          <w:rFonts w:hint="eastAsia" w:ascii="宋体" w:hAnsi="宋体" w:eastAsia="仿宋_GB2312" w:cs="仿宋_GB2312"/>
          <w:b/>
          <w:bCs/>
          <w:color w:val="auto"/>
          <w:kern w:val="0"/>
          <w:sz w:val="32"/>
          <w:szCs w:val="32"/>
          <w:lang w:val="en-US" w:eastAsia="zh-CN"/>
        </w:rPr>
        <w:t xml:space="preserve"> </w:t>
      </w:r>
      <w:r>
        <w:rPr>
          <w:rFonts w:hint="eastAsia" w:ascii="宋体" w:hAnsi="宋体" w:eastAsia="仿宋_GB2312" w:cs="仿宋_GB2312"/>
          <w:color w:val="auto"/>
          <w:kern w:val="0"/>
          <w:sz w:val="32"/>
          <w:szCs w:val="32"/>
        </w:rPr>
        <w:t>执法机关依法取得的罚没物品，除法律、行政法规禁止买卖的物品或者财产权利、按国家规定另行处置外，应当按照国家规定进行公开拍卖。公开拍卖应当符合下列要求：</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（一）拍卖活动可以采取现场拍卖方式</w:t>
      </w:r>
      <w:r>
        <w:rPr>
          <w:rFonts w:hint="eastAsia" w:ascii="黑体" w:hAnsi="黑体" w:eastAsia="黑体" w:cs="黑体"/>
          <w:color w:val="auto"/>
          <w:kern w:val="0"/>
          <w:sz w:val="32"/>
          <w:szCs w:val="32"/>
          <w:lang w:val="en-US" w:eastAsia="zh-CN"/>
        </w:rPr>
        <w:t>或者</w:t>
      </w:r>
      <w:r>
        <w:rPr>
          <w:rFonts w:hint="eastAsia" w:ascii="宋体" w:hAnsi="宋体" w:eastAsia="仿宋_GB2312" w:cs="仿宋_GB2312"/>
          <w:color w:val="auto"/>
          <w:kern w:val="0"/>
          <w:sz w:val="32"/>
          <w:szCs w:val="32"/>
        </w:rPr>
        <w:t>通过互联网和公共资源交易平台进行公开拍卖。</w:t>
      </w:r>
    </w:p>
    <w:p>
      <w:pPr>
        <w:widowControl/>
        <w:shd w:val="clear" w:color="auto" w:fill="FFFFFF"/>
        <w:spacing w:line="600" w:lineRule="exact"/>
        <w:rPr>
          <w:rFonts w:hint="eastAsia" w:ascii="黑体" w:hAnsi="黑体" w:eastAsia="黑体" w:cs="黑体"/>
          <w:color w:val="auto"/>
          <w:kern w:val="0"/>
          <w:sz w:val="32"/>
          <w:szCs w:val="32"/>
          <w:lang w:val="en-US" w:eastAsia="zh-CN"/>
        </w:rPr>
      </w:pPr>
      <w:r>
        <w:rPr>
          <w:rFonts w:hint="eastAsia" w:ascii="宋体" w:hAnsi="宋体" w:eastAsia="仿宋_GB2312" w:cs="仿宋_GB2312"/>
          <w:color w:val="auto"/>
          <w:kern w:val="0"/>
          <w:sz w:val="32"/>
          <w:szCs w:val="32"/>
        </w:rPr>
        <w:t>　　（二）公开拍卖应当委托具有相应拍卖资格的拍卖人进行，拍卖人可以通过摇珠等方式从具备资格条件的范围中选定，必要时可以选择多个拍卖人进行联合拍卖。</w:t>
      </w:r>
      <w:r>
        <w:rPr>
          <w:rFonts w:hint="eastAsia" w:ascii="黑体" w:hAnsi="黑体" w:eastAsia="黑体" w:cs="黑体"/>
          <w:color w:val="auto"/>
          <w:kern w:val="0"/>
          <w:sz w:val="32"/>
          <w:szCs w:val="32"/>
          <w:lang w:val="en-US" w:eastAsia="zh-CN"/>
        </w:rPr>
        <w:t>未经委托人同意，受托拍卖人不得将承接的罚没物品拍卖业务转给第三方实施。</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（三）罚没物品属于国家有强制安全标准或者涉及人民生命财产安全的，应当委托符合有关规定资格条件的检验检疫机构进行检验检测，不符合安全、卫生、质量或者动植物检疫标准的，不得进行公开拍卖。</w:t>
      </w:r>
    </w:p>
    <w:p>
      <w:pPr>
        <w:widowControl/>
        <w:shd w:val="clear" w:color="auto" w:fill="FFFFFF"/>
        <w:spacing w:line="600" w:lineRule="exact"/>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rPr>
        <w:t>　　（四）根据需要，可以采取“一物一拍”等方式对罚没物品进行拍卖。采用公开拍卖方式处置的，一般应当确定拍卖标的保留价。保留价一般参照价格认定机构或者符合资格条件的资产评估机构作出的评估价确定，也可以参照市场价或者通过互联网询价确定。</w:t>
      </w:r>
      <w:r>
        <w:rPr>
          <w:rFonts w:hint="eastAsia" w:ascii="黑体" w:hAnsi="黑体" w:eastAsia="黑体" w:cs="黑体"/>
          <w:color w:val="auto"/>
          <w:kern w:val="0"/>
          <w:sz w:val="32"/>
          <w:szCs w:val="32"/>
          <w:lang w:val="en-US" w:eastAsia="zh-CN"/>
        </w:rPr>
        <w:t>拍卖结束前，保留价应当保密。</w:t>
      </w:r>
    </w:p>
    <w:p>
      <w:pPr>
        <w:widowControl/>
        <w:shd w:val="clear" w:color="auto" w:fill="FFFFFF"/>
        <w:spacing w:line="600" w:lineRule="exact"/>
        <w:ind w:firstLine="64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（五）公开拍卖发生流拍情形的，再次拍卖的保留价不得低于前次拍卖保留价的</w:t>
      </w:r>
      <w:r>
        <w:rPr>
          <w:rFonts w:ascii="仿宋_GB2312" w:hAnsi="宋体" w:eastAsia="仿宋_GB2312" w:cs="仿宋_GB2312"/>
          <w:color w:val="auto"/>
          <w:kern w:val="0"/>
          <w:sz w:val="32"/>
          <w:szCs w:val="32"/>
        </w:rPr>
        <w:t>80%</w:t>
      </w:r>
      <w:r>
        <w:rPr>
          <w:rFonts w:hint="eastAsia" w:ascii="仿宋_GB2312" w:hAnsi="宋体" w:eastAsia="仿宋_GB2312" w:cs="仿宋_GB2312"/>
          <w:color w:val="auto"/>
          <w:kern w:val="0"/>
          <w:sz w:val="32"/>
          <w:szCs w:val="32"/>
        </w:rPr>
        <w:t>。</w:t>
      </w:r>
      <w:r>
        <w:rPr>
          <w:rFonts w:hint="eastAsia" w:ascii="宋体" w:hAnsi="宋体" w:eastAsia="仿宋_GB2312" w:cs="仿宋_GB2312"/>
          <w:color w:val="auto"/>
          <w:kern w:val="0"/>
          <w:sz w:val="32"/>
          <w:szCs w:val="32"/>
        </w:rPr>
        <w:t>发生</w:t>
      </w:r>
      <w:r>
        <w:rPr>
          <w:rFonts w:ascii="仿宋_GB2312" w:hAnsi="宋体" w:eastAsia="仿宋_GB2312" w:cs="仿宋_GB2312"/>
          <w:color w:val="auto"/>
          <w:kern w:val="0"/>
          <w:sz w:val="32"/>
          <w:szCs w:val="32"/>
        </w:rPr>
        <w:t>3</w:t>
      </w:r>
      <w:r>
        <w:rPr>
          <w:rFonts w:hint="eastAsia" w:ascii="宋体" w:hAnsi="宋体" w:eastAsia="仿宋_GB2312" w:cs="仿宋_GB2312"/>
          <w:color w:val="auto"/>
          <w:kern w:val="0"/>
          <w:sz w:val="32"/>
          <w:szCs w:val="32"/>
        </w:rPr>
        <w:t>次（含）以上流拍情形的，</w:t>
      </w:r>
      <w:r>
        <w:rPr>
          <w:rFonts w:hint="eastAsia" w:ascii="黑体" w:hAnsi="黑体" w:eastAsia="黑体" w:cs="黑体"/>
          <w:color w:val="auto"/>
          <w:kern w:val="0"/>
          <w:sz w:val="32"/>
          <w:szCs w:val="32"/>
          <w:lang w:val="en-US" w:eastAsia="zh-CN"/>
        </w:rPr>
        <w:t>由执法机关提出初步意见，</w:t>
      </w:r>
      <w:r>
        <w:rPr>
          <w:rFonts w:hint="eastAsia" w:ascii="宋体" w:hAnsi="宋体" w:eastAsia="仿宋_GB2312" w:cs="仿宋_GB2312"/>
          <w:color w:val="auto"/>
          <w:kern w:val="0"/>
          <w:sz w:val="32"/>
          <w:szCs w:val="32"/>
        </w:rPr>
        <w:t>商</w:t>
      </w:r>
      <w:r>
        <w:rPr>
          <w:rFonts w:hint="eastAsia" w:ascii="宋体" w:hAnsi="宋体" w:eastAsia="仿宋_GB2312" w:cs="仿宋_GB2312"/>
          <w:color w:val="auto"/>
          <w:kern w:val="0"/>
          <w:sz w:val="32"/>
          <w:szCs w:val="32"/>
          <w:lang w:eastAsia="zh-CN"/>
        </w:rPr>
        <w:t>同级财政部门</w:t>
      </w:r>
      <w:r>
        <w:rPr>
          <w:rFonts w:hint="eastAsia" w:ascii="宋体" w:hAnsi="宋体" w:eastAsia="仿宋_GB2312" w:cs="仿宋_GB2312"/>
          <w:color w:val="auto"/>
          <w:kern w:val="0"/>
          <w:sz w:val="32"/>
          <w:szCs w:val="32"/>
        </w:rPr>
        <w:t>确定后，可以通过互联网平台采取无底价拍卖或者转为其他处置方式。</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第十</w:t>
      </w:r>
      <w:r>
        <w:rPr>
          <w:rFonts w:hint="eastAsia" w:ascii="宋体" w:hAnsi="宋体" w:eastAsia="仿宋_GB2312" w:cs="仿宋_GB2312"/>
          <w:b/>
          <w:bCs/>
          <w:color w:val="auto"/>
          <w:kern w:val="0"/>
          <w:sz w:val="32"/>
          <w:szCs w:val="32"/>
          <w:lang w:eastAsia="zh-CN"/>
        </w:rPr>
        <w:t>七</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属于国家规定的专卖商品等限制流通的罚没物品，应当交由归口管理单位统一变卖，或者变卖给按规定可以接受该物品的单位。</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十八</w:t>
      </w:r>
      <w:r>
        <w:rPr>
          <w:rFonts w:hint="eastAsia" w:ascii="宋体" w:hAnsi="宋体" w:eastAsia="仿宋_GB2312" w:cs="仿宋_GB2312"/>
          <w:b/>
          <w:bCs/>
          <w:color w:val="auto"/>
          <w:kern w:val="0"/>
          <w:sz w:val="32"/>
          <w:szCs w:val="32"/>
        </w:rPr>
        <w:t>条</w:t>
      </w:r>
      <w:r>
        <w:rPr>
          <w:rFonts w:hint="eastAsia" w:ascii="宋体" w:hAnsi="宋体" w:eastAsia="仿宋_GB2312" w:cs="仿宋_GB2312"/>
          <w:color w:val="auto"/>
          <w:kern w:val="0"/>
          <w:sz w:val="32"/>
          <w:szCs w:val="32"/>
          <w:lang w:val="en-US" w:eastAsia="zh-CN"/>
        </w:rPr>
        <w:t xml:space="preserve">  </w:t>
      </w:r>
      <w:r>
        <w:rPr>
          <w:rFonts w:hint="eastAsia" w:ascii="宋体" w:hAnsi="宋体" w:eastAsia="仿宋_GB2312" w:cs="仿宋_GB2312"/>
          <w:color w:val="auto"/>
          <w:kern w:val="0"/>
          <w:sz w:val="32"/>
          <w:szCs w:val="32"/>
        </w:rPr>
        <w:t>下列罚没物品，应当移交相关主管部门处置：</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依法没收的文物，应当移交国家或者省级文物行政管理部门，由其指定的国有博物馆、图书馆等文物收藏单位收藏或者按国家有关规定处置。经国家或者省级文物行政管理部门授权，市、县的文物行政管理部门或者有关国有博物馆、图书馆等文物收藏单位可以具体承办文物接收事宜。</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（二）武器、弹药、管制刀具、毒品、毒具、赌具、禁止流通的易燃易爆危险品等，应当移交</w:t>
      </w:r>
      <w:r>
        <w:rPr>
          <w:rFonts w:hint="eastAsia" w:ascii="宋体" w:hAnsi="宋体" w:eastAsia="仿宋_GB2312" w:cs="仿宋_GB2312"/>
          <w:color w:val="auto"/>
          <w:kern w:val="0"/>
          <w:sz w:val="32"/>
          <w:szCs w:val="32"/>
          <w:lang w:eastAsia="zh-CN"/>
        </w:rPr>
        <w:t>同级公安部门</w:t>
      </w:r>
      <w:r>
        <w:rPr>
          <w:rFonts w:hint="eastAsia" w:ascii="宋体" w:hAnsi="宋体" w:eastAsia="仿宋_GB2312" w:cs="仿宋_GB2312"/>
          <w:color w:val="auto"/>
          <w:kern w:val="0"/>
          <w:sz w:val="32"/>
          <w:szCs w:val="32"/>
        </w:rPr>
        <w:t>或者其他有关部门处置，或者经</w:t>
      </w:r>
      <w:r>
        <w:rPr>
          <w:rFonts w:hint="eastAsia" w:ascii="宋体" w:hAnsi="宋体" w:eastAsia="仿宋_GB2312" w:cs="仿宋_GB2312"/>
          <w:color w:val="auto"/>
          <w:kern w:val="0"/>
          <w:sz w:val="32"/>
          <w:szCs w:val="32"/>
          <w:lang w:eastAsia="zh-CN"/>
        </w:rPr>
        <w:t>公安部门</w:t>
      </w:r>
      <w:r>
        <w:rPr>
          <w:rFonts w:hint="eastAsia" w:ascii="宋体" w:hAnsi="宋体" w:eastAsia="仿宋_GB2312" w:cs="仿宋_GB2312"/>
          <w:color w:val="auto"/>
          <w:kern w:val="0"/>
          <w:sz w:val="32"/>
          <w:szCs w:val="32"/>
        </w:rPr>
        <w:t>、其他有关部门同意，由有关执法机关依法处置。</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（三）依法没收的野生动植物及其制品，应当交由野生动植物保护主管部门、海洋执法部门或者有关保护区域管理机构按规定处置，或者经有关主管部门同意，交由相关科研机构用于科学研究。</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（四）其他应当移交相关主管部门处置的罚没物品。</w:t>
      </w:r>
    </w:p>
    <w:p>
      <w:pPr>
        <w:widowControl/>
        <w:shd w:val="clear" w:color="auto" w:fill="FFFFFF"/>
        <w:spacing w:line="600" w:lineRule="exact"/>
        <w:ind w:firstLine="643"/>
        <w:rPr>
          <w:rFonts w:hint="eastAsia" w:ascii="宋体" w:hAnsi="宋体" w:eastAsia="仿宋_GB2312" w:cs="仿宋_GB2312"/>
          <w:color w:val="auto"/>
          <w:kern w:val="0"/>
          <w:sz w:val="32"/>
          <w:szCs w:val="32"/>
          <w:highlight w:val="none"/>
          <w:lang w:eastAsia="zh-CN"/>
        </w:rPr>
      </w:pPr>
      <w:r>
        <w:rPr>
          <w:rFonts w:hint="eastAsia" w:ascii="宋体" w:hAnsi="宋体" w:eastAsia="仿宋_GB2312" w:cs="仿宋_GB2312"/>
          <w:b/>
          <w:bCs/>
          <w:color w:val="auto"/>
          <w:kern w:val="0"/>
          <w:sz w:val="32"/>
          <w:szCs w:val="32"/>
        </w:rPr>
        <w:t>第</w:t>
      </w:r>
      <w:r>
        <w:rPr>
          <w:rFonts w:hint="eastAsia" w:ascii="宋体" w:hAnsi="宋体" w:eastAsia="仿宋_GB2312" w:cs="仿宋_GB2312"/>
          <w:b/>
          <w:bCs/>
          <w:color w:val="auto"/>
          <w:kern w:val="0"/>
          <w:sz w:val="32"/>
          <w:szCs w:val="32"/>
          <w:lang w:eastAsia="zh-CN"/>
        </w:rPr>
        <w:t>十九</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罚没物品难以变卖或者变卖成本大于收入，且具有经济价值或者其他价值的，执法机关报</w:t>
      </w:r>
      <w:r>
        <w:rPr>
          <w:rFonts w:hint="eastAsia" w:ascii="宋体" w:hAnsi="宋体" w:eastAsia="仿宋_GB2312" w:cs="仿宋_GB2312"/>
          <w:color w:val="auto"/>
          <w:kern w:val="0"/>
          <w:sz w:val="32"/>
          <w:szCs w:val="32"/>
          <w:lang w:eastAsia="zh-CN"/>
        </w:rPr>
        <w:t>经同级财政部门</w:t>
      </w:r>
      <w:r>
        <w:rPr>
          <w:rFonts w:hint="eastAsia" w:ascii="宋体" w:hAnsi="宋体" w:eastAsia="仿宋_GB2312" w:cs="仿宋_GB2312"/>
          <w:color w:val="auto"/>
          <w:kern w:val="0"/>
          <w:sz w:val="32"/>
          <w:szCs w:val="32"/>
        </w:rPr>
        <w:t>同意后，可以赠送有关公益单位用于公益事业；没有捐赠且能够继续使用的，</w:t>
      </w:r>
      <w:r>
        <w:rPr>
          <w:rFonts w:hint="eastAsia" w:ascii="黑体" w:hAnsi="黑体" w:eastAsia="黑体" w:cs="黑体"/>
          <w:color w:val="auto"/>
          <w:kern w:val="0"/>
          <w:sz w:val="32"/>
          <w:szCs w:val="32"/>
          <w:highlight w:val="none"/>
          <w:lang w:eastAsia="zh-CN"/>
        </w:rPr>
        <w:t>由执法机关商同级财政部门共同确定管理方式。</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第二十条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淫秽、反动物品，非法出版物，有毒有害的食品药品及其原材料，危害国家安全以及其他有社会危害性的物品，以及法律法规规定应当销毁的，应当由执法机关予以销毁。</w:t>
      </w:r>
    </w:p>
    <w:p>
      <w:pPr>
        <w:widowControl/>
        <w:shd w:val="clear" w:color="auto" w:fill="FFFFFF"/>
        <w:spacing w:line="600" w:lineRule="exact"/>
        <w:ind w:firstLine="640"/>
        <w:rPr>
          <w:rFonts w:hint="eastAsia" w:ascii="宋体" w:hAnsi="宋体" w:eastAsia="仿宋_GB2312" w:cs="仿宋_GB2312"/>
          <w:color w:val="auto"/>
          <w:kern w:val="0"/>
          <w:sz w:val="32"/>
          <w:szCs w:val="32"/>
          <w:lang w:eastAsia="zh-CN"/>
        </w:rPr>
      </w:pPr>
      <w:r>
        <w:rPr>
          <w:rFonts w:hint="eastAsia" w:ascii="宋体" w:hAnsi="宋体" w:eastAsia="仿宋_GB2312" w:cs="仿宋_GB2312"/>
          <w:color w:val="auto"/>
          <w:kern w:val="0"/>
          <w:sz w:val="32"/>
          <w:szCs w:val="32"/>
        </w:rPr>
        <w:t>对难以变卖且无经济价值或者其他价值的，可以由执法机关、政府公物仓予以销毁</w:t>
      </w:r>
      <w:r>
        <w:rPr>
          <w:rFonts w:hint="eastAsia" w:ascii="宋体" w:hAnsi="宋体" w:eastAsia="仿宋_GB2312" w:cs="仿宋_GB2312"/>
          <w:color w:val="auto"/>
          <w:kern w:val="0"/>
          <w:sz w:val="32"/>
          <w:szCs w:val="32"/>
          <w:lang w:eastAsia="zh-CN"/>
        </w:rPr>
        <w:t>。</w:t>
      </w:r>
    </w:p>
    <w:p>
      <w:pPr>
        <w:widowControl/>
        <w:shd w:val="clear" w:color="auto" w:fill="FFFFFF"/>
        <w:spacing w:line="600" w:lineRule="exact"/>
        <w:ind w:firstLine="64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执法机关、政府公物仓应对销毁情况拍照、录像留档备查。销毁易燃、易爆、有毒、有害等物品时，应会同有关部门对罚没物品进行无害化处置，确保罚没物品处置安全。</w:t>
      </w:r>
    </w:p>
    <w:p>
      <w:pPr>
        <w:widowControl/>
        <w:shd w:val="clear" w:color="auto" w:fill="FFFFFF"/>
        <w:spacing w:line="600" w:lineRule="exact"/>
        <w:rPr>
          <w:rFonts w:hint="eastAsia" w:ascii="宋体" w:hAnsi="宋体" w:eastAsia="仿宋_GB2312" w:cs="Times New Roman"/>
          <w:color w:val="auto"/>
          <w:kern w:val="0"/>
          <w:sz w:val="32"/>
          <w:szCs w:val="32"/>
          <w:lang w:eastAsia="zh-CN"/>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第二十</w:t>
      </w:r>
      <w:r>
        <w:rPr>
          <w:rFonts w:hint="eastAsia" w:ascii="宋体" w:hAnsi="宋体" w:eastAsia="仿宋_GB2312" w:cs="仿宋_GB2312"/>
          <w:b/>
          <w:bCs/>
          <w:color w:val="auto"/>
          <w:kern w:val="0"/>
          <w:sz w:val="32"/>
          <w:szCs w:val="32"/>
          <w:lang w:eastAsia="zh-CN"/>
        </w:rPr>
        <w:t>一</w:t>
      </w:r>
      <w:r>
        <w:rPr>
          <w:rFonts w:hint="eastAsia" w:ascii="宋体" w:hAnsi="宋体" w:eastAsia="仿宋_GB2312" w:cs="仿宋_GB2312"/>
          <w:b/>
          <w:bCs/>
          <w:color w:val="auto"/>
          <w:kern w:val="0"/>
          <w:sz w:val="32"/>
          <w:szCs w:val="32"/>
        </w:rPr>
        <w:t>条</w:t>
      </w:r>
      <w:r>
        <w:rPr>
          <w:rFonts w:hint="eastAsia" w:ascii="宋体" w:hAnsi="宋体" w:eastAsia="仿宋_GB2312" w:cs="仿宋_GB2312"/>
          <w:b/>
          <w:bCs/>
          <w:color w:val="auto"/>
          <w:kern w:val="0"/>
          <w:sz w:val="32"/>
          <w:szCs w:val="32"/>
          <w:lang w:val="en-US" w:eastAsia="zh-CN"/>
        </w:rPr>
        <w:t xml:space="preserve"> </w:t>
      </w:r>
      <w:r>
        <w:rPr>
          <w:rFonts w:hint="eastAsia" w:ascii="宋体" w:hAnsi="宋体" w:eastAsia="仿宋_GB2312" w:cs="仿宋_GB2312"/>
          <w:color w:val="auto"/>
          <w:kern w:val="0"/>
          <w:sz w:val="32"/>
          <w:szCs w:val="32"/>
        </w:rPr>
        <w:t>属于应销毁的物品经无害化或者合法化处理，丧失原有功能后尚有经济价值的，可以由执法机关、政府公物仓作为废旧物品变卖。</w:t>
      </w:r>
    </w:p>
    <w:p>
      <w:pPr>
        <w:widowControl/>
        <w:shd w:val="clear" w:color="auto" w:fill="FFFFFF"/>
        <w:spacing w:line="600" w:lineRule="exact"/>
        <w:ind w:firstLine="642" w:firstLineChars="200"/>
        <w:rPr>
          <w:rFonts w:hint="eastAsia" w:ascii="黑体" w:hAnsi="黑体" w:eastAsia="黑体" w:cs="黑体"/>
          <w:color w:val="auto"/>
          <w:kern w:val="0"/>
          <w:sz w:val="32"/>
          <w:szCs w:val="32"/>
          <w:lang w:eastAsia="zh-CN"/>
        </w:rPr>
      </w:pPr>
      <w:r>
        <w:rPr>
          <w:rFonts w:hint="eastAsia" w:ascii="宋体" w:hAnsi="宋体" w:eastAsia="仿宋_GB2312" w:cs="仿宋_GB2312"/>
          <w:b/>
          <w:bCs/>
          <w:color w:val="auto"/>
          <w:kern w:val="0"/>
          <w:sz w:val="32"/>
          <w:szCs w:val="32"/>
        </w:rPr>
        <w:t>第二十</w:t>
      </w:r>
      <w:r>
        <w:rPr>
          <w:rFonts w:hint="eastAsia" w:ascii="宋体" w:hAnsi="宋体" w:eastAsia="仿宋_GB2312" w:cs="仿宋_GB2312"/>
          <w:b/>
          <w:bCs/>
          <w:color w:val="auto"/>
          <w:kern w:val="0"/>
          <w:sz w:val="32"/>
          <w:szCs w:val="32"/>
          <w:lang w:eastAsia="zh-CN"/>
        </w:rPr>
        <w:t>二</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已纳入罚没仓库保管的物品，依法应当退还的，由执法机关、政府公物仓办理退还手续。</w:t>
      </w:r>
      <w:r>
        <w:rPr>
          <w:rFonts w:hint="eastAsia" w:ascii="黑体" w:hAnsi="黑体" w:eastAsia="黑体" w:cs="黑体"/>
          <w:color w:val="auto"/>
          <w:kern w:val="0"/>
          <w:sz w:val="32"/>
          <w:szCs w:val="32"/>
          <w:lang w:eastAsia="zh-CN"/>
        </w:rPr>
        <w:t>按规定已先行处置的物品，依法应当退还的，应当按照规定办理相关款项退还手续。</w:t>
      </w:r>
    </w:p>
    <w:p>
      <w:pPr>
        <w:widowControl/>
        <w:shd w:val="clear" w:color="auto" w:fill="FFFFFF"/>
        <w:spacing w:line="600" w:lineRule="exact"/>
        <w:ind w:firstLine="640"/>
        <w:rPr>
          <w:rFonts w:hint="eastAsia" w:ascii="宋体" w:hAnsi="宋体" w:eastAsia="仿宋_GB2312" w:cs="仿宋_GB2312"/>
          <w:color w:val="auto"/>
          <w:kern w:val="0"/>
          <w:sz w:val="32"/>
          <w:szCs w:val="32"/>
          <w:lang w:eastAsia="zh-CN"/>
        </w:rPr>
      </w:pPr>
      <w:r>
        <w:rPr>
          <w:rFonts w:hint="eastAsia" w:ascii="宋体" w:hAnsi="宋体" w:eastAsia="仿宋_GB2312" w:cs="仿宋_GB2312"/>
          <w:b/>
          <w:bCs/>
          <w:color w:val="auto"/>
          <w:kern w:val="0"/>
          <w:sz w:val="32"/>
          <w:szCs w:val="32"/>
        </w:rPr>
        <w:t>第二十</w:t>
      </w:r>
      <w:r>
        <w:rPr>
          <w:rFonts w:hint="eastAsia" w:ascii="宋体" w:hAnsi="宋体" w:eastAsia="仿宋_GB2312" w:cs="仿宋_GB2312"/>
          <w:b/>
          <w:bCs/>
          <w:color w:val="auto"/>
          <w:kern w:val="0"/>
          <w:sz w:val="32"/>
          <w:szCs w:val="32"/>
          <w:lang w:eastAsia="zh-CN"/>
        </w:rPr>
        <w:t>三</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依法应当进行权属登记的房产、土地使用权等罚没财产和财产权利，变卖前可以依据行政处罚决定，没收、追缴决定，法院生效裁定、判决进行权属变更</w:t>
      </w:r>
      <w:r>
        <w:rPr>
          <w:rFonts w:hint="eastAsia" w:ascii="宋体" w:hAnsi="宋体" w:eastAsia="仿宋_GB2312" w:cs="仿宋_GB2312"/>
          <w:color w:val="auto"/>
          <w:kern w:val="0"/>
          <w:sz w:val="32"/>
          <w:szCs w:val="32"/>
          <w:lang w:eastAsia="zh-CN"/>
        </w:rPr>
        <w:t>。</w:t>
      </w:r>
    </w:p>
    <w:p>
      <w:pPr>
        <w:widowControl/>
        <w:shd w:val="clear" w:color="auto" w:fill="FFFFFF"/>
        <w:spacing w:line="600" w:lineRule="exact"/>
        <w:ind w:firstLine="640"/>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权属变更后的承接权属主体可以是执法机关、政府公物仓、</w:t>
      </w:r>
      <w:r>
        <w:rPr>
          <w:rFonts w:hint="eastAsia" w:ascii="宋体" w:hAnsi="宋体" w:eastAsia="仿宋_GB2312" w:cs="仿宋_GB2312"/>
          <w:color w:val="auto"/>
          <w:kern w:val="0"/>
          <w:sz w:val="32"/>
          <w:szCs w:val="32"/>
          <w:lang w:eastAsia="zh-CN"/>
        </w:rPr>
        <w:t>同级财政部门</w:t>
      </w:r>
      <w:r>
        <w:rPr>
          <w:rFonts w:hint="eastAsia" w:ascii="宋体" w:hAnsi="宋体" w:eastAsia="仿宋_GB2312" w:cs="仿宋_GB2312"/>
          <w:color w:val="auto"/>
          <w:kern w:val="0"/>
          <w:sz w:val="32"/>
          <w:szCs w:val="32"/>
        </w:rPr>
        <w:t>或者其他指定机构，但不改变罚没财物的性质，承接单位不得占用、出租、出借。</w:t>
      </w:r>
    </w:p>
    <w:p>
      <w:pPr>
        <w:widowControl/>
        <w:shd w:val="clear" w:color="auto" w:fill="FFFFFF"/>
        <w:spacing w:line="60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权属变更后的罚没物品，符合公开拍卖条件的，应当首选公开拍卖；不符合公开拍卖条件的，应按规定选择其他处置方式进行处置。</w:t>
      </w:r>
    </w:p>
    <w:p>
      <w:pPr>
        <w:widowControl/>
        <w:shd w:val="clear" w:color="auto" w:fill="FFFFFF"/>
        <w:spacing w:line="600" w:lineRule="exact"/>
        <w:rPr>
          <w:rFonts w:hint="eastAsia" w:ascii="黑体" w:hAnsi="黑体" w:eastAsia="黑体" w:cs="黑体"/>
          <w:color w:val="auto"/>
          <w:kern w:val="0"/>
          <w:sz w:val="32"/>
          <w:szCs w:val="32"/>
          <w:lang w:eastAsia="zh-CN"/>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第二十</w:t>
      </w:r>
      <w:r>
        <w:rPr>
          <w:rFonts w:hint="eastAsia" w:ascii="宋体" w:hAnsi="宋体" w:eastAsia="仿宋_GB2312" w:cs="仿宋_GB2312"/>
          <w:b/>
          <w:bCs/>
          <w:color w:val="auto"/>
          <w:kern w:val="0"/>
          <w:sz w:val="32"/>
          <w:szCs w:val="32"/>
          <w:lang w:eastAsia="zh-CN"/>
        </w:rPr>
        <w:t>四</w:t>
      </w:r>
      <w:r>
        <w:rPr>
          <w:rFonts w:hint="eastAsia" w:ascii="宋体" w:hAnsi="宋体" w:eastAsia="仿宋_GB2312" w:cs="仿宋_GB2312"/>
          <w:b/>
          <w:bCs/>
          <w:color w:val="auto"/>
          <w:kern w:val="0"/>
          <w:sz w:val="32"/>
          <w:szCs w:val="32"/>
        </w:rPr>
        <w:t>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罚没物品无法直接适用本办法规定处置的，执法机关</w:t>
      </w:r>
      <w:r>
        <w:rPr>
          <w:rFonts w:hint="eastAsia" w:ascii="黑体" w:hAnsi="黑体" w:eastAsia="黑体" w:cs="黑体"/>
          <w:color w:val="auto"/>
          <w:kern w:val="0"/>
          <w:sz w:val="32"/>
          <w:szCs w:val="32"/>
          <w:lang w:eastAsia="zh-CN"/>
        </w:rPr>
        <w:t>应当</w:t>
      </w:r>
      <w:r>
        <w:rPr>
          <w:rFonts w:hint="eastAsia" w:ascii="宋体" w:hAnsi="宋体" w:eastAsia="仿宋_GB2312" w:cs="仿宋_GB2312"/>
          <w:color w:val="auto"/>
          <w:kern w:val="0"/>
          <w:sz w:val="32"/>
          <w:szCs w:val="32"/>
        </w:rPr>
        <w:t>与</w:t>
      </w:r>
      <w:r>
        <w:rPr>
          <w:rFonts w:hint="eastAsia" w:ascii="宋体" w:hAnsi="宋体" w:eastAsia="仿宋_GB2312" w:cs="仿宋_GB2312"/>
          <w:color w:val="auto"/>
          <w:kern w:val="0"/>
          <w:sz w:val="32"/>
          <w:szCs w:val="32"/>
          <w:lang w:eastAsia="zh-CN"/>
        </w:rPr>
        <w:t>同级财政</w:t>
      </w:r>
      <w:r>
        <w:rPr>
          <w:rFonts w:hint="eastAsia" w:ascii="黑体" w:hAnsi="黑体" w:eastAsia="黑体" w:cs="黑体"/>
          <w:color w:val="auto"/>
          <w:kern w:val="0"/>
          <w:sz w:val="32"/>
          <w:szCs w:val="32"/>
          <w:lang w:eastAsia="zh-CN"/>
        </w:rPr>
        <w:t>部门</w:t>
      </w:r>
      <w:r>
        <w:rPr>
          <w:rFonts w:hint="eastAsia" w:ascii="宋体" w:hAnsi="宋体" w:eastAsia="仿宋_GB2312" w:cs="仿宋_GB2312"/>
          <w:color w:val="auto"/>
          <w:kern w:val="0"/>
          <w:sz w:val="32"/>
          <w:szCs w:val="32"/>
        </w:rPr>
        <w:t>商有关部门</w:t>
      </w:r>
      <w:r>
        <w:rPr>
          <w:rFonts w:hint="eastAsia" w:ascii="宋体" w:hAnsi="宋体" w:eastAsia="仿宋_GB2312" w:cs="仿宋_GB2312"/>
          <w:color w:val="auto"/>
          <w:kern w:val="0"/>
          <w:sz w:val="32"/>
          <w:szCs w:val="32"/>
          <w:lang w:eastAsia="zh-CN"/>
        </w:rPr>
        <w:t>，</w:t>
      </w:r>
      <w:r>
        <w:rPr>
          <w:rFonts w:hint="eastAsia" w:ascii="黑体" w:hAnsi="黑体" w:eastAsia="黑体" w:cs="黑体"/>
          <w:color w:val="auto"/>
          <w:kern w:val="0"/>
          <w:sz w:val="32"/>
          <w:szCs w:val="32"/>
          <w:lang w:eastAsia="zh-CN"/>
        </w:rPr>
        <w:t>采取“一事一议”的方式</w:t>
      </w:r>
      <w:r>
        <w:rPr>
          <w:rFonts w:hint="eastAsia" w:ascii="宋体" w:hAnsi="宋体" w:eastAsia="仿宋_GB2312" w:cs="仿宋_GB2312"/>
          <w:color w:val="auto"/>
          <w:kern w:val="0"/>
          <w:sz w:val="32"/>
          <w:szCs w:val="32"/>
        </w:rPr>
        <w:t>提出处置方案，</w:t>
      </w:r>
      <w:r>
        <w:rPr>
          <w:rFonts w:hint="eastAsia" w:ascii="黑体" w:hAnsi="黑体" w:eastAsia="黑体" w:cs="黑体"/>
          <w:color w:val="auto"/>
          <w:kern w:val="0"/>
          <w:sz w:val="32"/>
          <w:szCs w:val="32"/>
          <w:lang w:eastAsia="zh-CN"/>
        </w:rPr>
        <w:t>涉及贵重物品、土地、房屋等价值量较大的罚没物品，应当报同级人民政府同意。处置方案应报</w:t>
      </w:r>
      <w:r>
        <w:rPr>
          <w:rFonts w:hint="eastAsia" w:ascii="宋体" w:hAnsi="宋体" w:eastAsia="仿宋_GB2312" w:cs="仿宋_GB2312"/>
          <w:color w:val="auto"/>
          <w:kern w:val="0"/>
          <w:sz w:val="32"/>
          <w:szCs w:val="32"/>
          <w:lang w:eastAsia="zh-CN"/>
        </w:rPr>
        <w:t>上级财政部门</w:t>
      </w:r>
      <w:r>
        <w:rPr>
          <w:rFonts w:hint="eastAsia" w:ascii="宋体" w:hAnsi="宋体" w:eastAsia="仿宋_GB2312" w:cs="仿宋_GB2312"/>
          <w:color w:val="auto"/>
          <w:kern w:val="0"/>
          <w:sz w:val="32"/>
          <w:szCs w:val="32"/>
        </w:rPr>
        <w:t>备案。</w:t>
      </w:r>
    </w:p>
    <w:p>
      <w:pPr>
        <w:widowControl/>
        <w:shd w:val="clear" w:color="auto" w:fill="FFFFFF"/>
        <w:spacing w:line="600" w:lineRule="exact"/>
        <w:jc w:val="center"/>
        <w:rPr>
          <w:rFonts w:hint="eastAsia" w:ascii="宋体" w:hAnsi="宋体" w:eastAsia="楷体_GB2312" w:cs="楷体_GB2312"/>
          <w:b/>
          <w:bCs/>
          <w:color w:val="auto"/>
          <w:kern w:val="0"/>
          <w:sz w:val="32"/>
          <w:szCs w:val="32"/>
        </w:rPr>
      </w:pPr>
    </w:p>
    <w:p>
      <w:pPr>
        <w:widowControl/>
        <w:shd w:val="clear" w:color="auto" w:fill="FFFFFF"/>
        <w:spacing w:line="600" w:lineRule="exact"/>
        <w:jc w:val="center"/>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第四章</w:t>
      </w:r>
      <w:r>
        <w:rPr>
          <w:rFonts w:ascii="宋体" w:hAnsi="宋体" w:eastAsia="楷体_GB2312" w:cs="宋体"/>
          <w:b/>
          <w:bCs/>
          <w:color w:val="auto"/>
          <w:kern w:val="0"/>
          <w:sz w:val="32"/>
          <w:szCs w:val="32"/>
        </w:rPr>
        <w:t xml:space="preserve"> </w:t>
      </w:r>
      <w:r>
        <w:rPr>
          <w:rFonts w:ascii="宋体" w:eastAsia="楷体_GB2312" w:cs="Times New Roman"/>
          <w:b/>
          <w:bCs/>
          <w:color w:val="auto"/>
          <w:kern w:val="0"/>
          <w:sz w:val="32"/>
          <w:szCs w:val="32"/>
        </w:rPr>
        <w:t> </w:t>
      </w:r>
      <w:r>
        <w:rPr>
          <w:rFonts w:hint="eastAsia" w:ascii="宋体" w:hAnsi="宋体" w:eastAsia="楷体_GB2312" w:cs="楷体_GB2312"/>
          <w:b/>
          <w:bCs/>
          <w:color w:val="auto"/>
          <w:kern w:val="0"/>
          <w:sz w:val="32"/>
          <w:szCs w:val="32"/>
        </w:rPr>
        <w:t>罚没收入</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rPr>
        <w:t>第二十</w:t>
      </w:r>
      <w:r>
        <w:rPr>
          <w:rFonts w:hint="eastAsia" w:ascii="宋体" w:hAnsi="宋体" w:eastAsia="仿宋_GB2312" w:cs="仿宋_GB2312"/>
          <w:b/>
          <w:bCs/>
          <w:color w:val="auto"/>
          <w:kern w:val="0"/>
          <w:sz w:val="32"/>
          <w:szCs w:val="32"/>
          <w:lang w:eastAsia="zh-CN"/>
        </w:rPr>
        <w:t>五</w:t>
      </w:r>
      <w:r>
        <w:rPr>
          <w:rFonts w:hint="eastAsia" w:ascii="宋体" w:hAnsi="宋体" w:eastAsia="仿宋_GB2312" w:cs="仿宋_GB2312"/>
          <w:b/>
          <w:bCs/>
          <w:color w:val="auto"/>
          <w:kern w:val="0"/>
          <w:sz w:val="32"/>
          <w:szCs w:val="32"/>
        </w:rPr>
        <w:t>条</w:t>
      </w:r>
      <w:r>
        <w:rPr>
          <w:rFonts w:hint="eastAsia" w:ascii="宋体" w:hAnsi="宋体" w:eastAsia="仿宋_GB2312" w:cs="仿宋_GB2312"/>
          <w:color w:val="auto"/>
          <w:kern w:val="0"/>
          <w:sz w:val="32"/>
          <w:szCs w:val="32"/>
          <w:lang w:val="en-US" w:eastAsia="zh-CN"/>
        </w:rPr>
        <w:t xml:space="preserve"> </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罚没收入属于政府非税收入，应当按照</w:t>
      </w:r>
      <w:r>
        <w:rPr>
          <w:rFonts w:hint="eastAsia" w:ascii="宋体" w:hAnsi="宋体" w:eastAsia="仿宋_GB2312" w:cs="仿宋_GB2312"/>
          <w:color w:val="auto"/>
          <w:kern w:val="0"/>
          <w:sz w:val="32"/>
          <w:szCs w:val="32"/>
          <w:lang w:eastAsia="zh-CN"/>
        </w:rPr>
        <w:t>国库集中收缴管理</w:t>
      </w:r>
      <w:r>
        <w:rPr>
          <w:rFonts w:hint="eastAsia" w:ascii="宋体" w:hAnsi="宋体" w:eastAsia="仿宋_GB2312" w:cs="仿宋_GB2312"/>
          <w:color w:val="auto"/>
          <w:kern w:val="0"/>
          <w:sz w:val="32"/>
          <w:szCs w:val="32"/>
        </w:rPr>
        <w:t>有关规定，全额上缴国库，纳入一般公共预算管理。</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第二十六条</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除依法可以当场收缴的罚款外，作出罚款决定的执法机关应当与收缴罚款的机构分离。</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第二十七条</w:t>
      </w:r>
      <w:r>
        <w:rPr>
          <w:rFonts w:ascii="宋体" w:eastAsia="仿宋_GB2312" w:cs="Times New Roman"/>
          <w:color w:val="auto"/>
          <w:kern w:val="0"/>
          <w:sz w:val="32"/>
          <w:szCs w:val="32"/>
        </w:rPr>
        <w:t> </w:t>
      </w:r>
      <w:r>
        <w:rPr>
          <w:rFonts w:hint="eastAsia" w:ascii="黑体" w:hAnsi="黑体" w:eastAsia="黑体" w:cs="黑体"/>
          <w:color w:val="auto"/>
          <w:kern w:val="0"/>
          <w:sz w:val="32"/>
          <w:szCs w:val="32"/>
          <w:lang w:eastAsia="zh-CN"/>
        </w:rPr>
        <w:t>省级与市县</w:t>
      </w:r>
      <w:r>
        <w:rPr>
          <w:rFonts w:hint="eastAsia" w:ascii="黑体" w:hAnsi="黑体" w:eastAsia="黑体" w:cs="黑体"/>
          <w:color w:val="auto"/>
          <w:kern w:val="0"/>
          <w:sz w:val="32"/>
          <w:szCs w:val="32"/>
        </w:rPr>
        <w:t>间</w:t>
      </w:r>
      <w:r>
        <w:rPr>
          <w:rFonts w:hint="eastAsia" w:ascii="黑体" w:hAnsi="黑体" w:eastAsia="黑体" w:cs="黑体"/>
          <w:color w:val="auto"/>
          <w:kern w:val="0"/>
          <w:sz w:val="32"/>
          <w:szCs w:val="32"/>
          <w:lang w:eastAsia="zh-CN"/>
        </w:rPr>
        <w:t>的</w:t>
      </w:r>
      <w:r>
        <w:rPr>
          <w:rFonts w:hint="eastAsia" w:ascii="宋体" w:hAnsi="宋体" w:eastAsia="仿宋_GB2312" w:cs="仿宋_GB2312"/>
          <w:color w:val="auto"/>
          <w:kern w:val="0"/>
          <w:sz w:val="32"/>
          <w:szCs w:val="32"/>
        </w:rPr>
        <w:t>罚没收入划分权限，按照现行预算管理有关规定确定。法律法规另有规定的，从其规定。</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第二十八条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除以下情形外，罚没收入应按照执法机关的财务隶属关系缴入同级国库：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（一）海关、公安、中国海警、市场监管等部门取得的缉私罚没收入全额缴入中央国库。</w:t>
      </w:r>
    </w:p>
    <w:p>
      <w:pPr>
        <w:widowControl/>
        <w:shd w:val="clear" w:color="auto" w:fill="FFFFFF"/>
        <w:spacing w:line="600" w:lineRule="exact"/>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　　（二）海关（除缉私外）、国家外汇管理部门、国家邮政部门、通信管理部门、气象管理部门、应急管理部所属煤矿安全监察部门、交通运输部所属海事部门</w:t>
      </w:r>
      <w:r>
        <w:rPr>
          <w:rFonts w:hint="eastAsia" w:ascii="黑体" w:hAnsi="黑体" w:eastAsia="黑体" w:cs="黑体"/>
          <w:color w:val="auto"/>
          <w:kern w:val="0"/>
          <w:sz w:val="32"/>
          <w:szCs w:val="32"/>
          <w:lang w:eastAsia="zh-CN"/>
        </w:rPr>
        <w:t>省及</w:t>
      </w:r>
      <w:r>
        <w:rPr>
          <w:rFonts w:hint="eastAsia" w:ascii="宋体" w:hAnsi="宋体" w:eastAsia="仿宋_GB2312" w:cs="仿宋_GB2312"/>
          <w:color w:val="auto"/>
          <w:kern w:val="0"/>
          <w:sz w:val="32"/>
          <w:szCs w:val="32"/>
        </w:rPr>
        <w:t>省以下机构取得的罚没收入，</w:t>
      </w:r>
      <w:r>
        <w:rPr>
          <w:rFonts w:ascii="仿宋_GB2312" w:hAnsi="宋体" w:eastAsia="仿宋_GB2312" w:cs="仿宋_GB2312"/>
          <w:color w:val="auto"/>
          <w:kern w:val="0"/>
          <w:sz w:val="32"/>
          <w:szCs w:val="32"/>
        </w:rPr>
        <w:t>50%</w:t>
      </w:r>
      <w:r>
        <w:rPr>
          <w:rFonts w:hint="eastAsia" w:ascii="仿宋_GB2312" w:hAnsi="宋体" w:eastAsia="仿宋_GB2312" w:cs="仿宋_GB2312"/>
          <w:color w:val="auto"/>
          <w:kern w:val="0"/>
          <w:sz w:val="32"/>
          <w:szCs w:val="32"/>
        </w:rPr>
        <w:t>缴入中央国库，</w:t>
      </w:r>
      <w:r>
        <w:rPr>
          <w:rFonts w:ascii="仿宋_GB2312" w:hAnsi="宋体" w:eastAsia="仿宋_GB2312" w:cs="仿宋_GB2312"/>
          <w:color w:val="auto"/>
          <w:kern w:val="0"/>
          <w:sz w:val="32"/>
          <w:szCs w:val="32"/>
        </w:rPr>
        <w:t>50%</w:t>
      </w:r>
      <w:r>
        <w:rPr>
          <w:rFonts w:hint="eastAsia" w:ascii="仿宋_GB2312" w:hAnsi="宋体" w:eastAsia="仿宋_GB2312" w:cs="仿宋_GB2312"/>
          <w:color w:val="auto"/>
          <w:kern w:val="0"/>
          <w:sz w:val="32"/>
          <w:szCs w:val="32"/>
        </w:rPr>
        <w:t>缴</w:t>
      </w:r>
      <w:r>
        <w:rPr>
          <w:rFonts w:hint="eastAsia" w:ascii="宋体" w:hAnsi="宋体" w:eastAsia="仿宋_GB2312" w:cs="仿宋_GB2312"/>
          <w:color w:val="auto"/>
          <w:kern w:val="0"/>
          <w:sz w:val="32"/>
          <w:szCs w:val="32"/>
        </w:rPr>
        <w:t>入地方国库。</w:t>
      </w:r>
    </w:p>
    <w:p>
      <w:pPr>
        <w:widowControl/>
        <w:shd w:val="clear" w:color="auto" w:fill="FFFFFF"/>
        <w:spacing w:line="600" w:lineRule="exact"/>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　　（三）国家烟草专卖部门取得的罚没收入全额缴入地方国库。</w:t>
      </w:r>
    </w:p>
    <w:p>
      <w:pPr>
        <w:widowControl/>
        <w:shd w:val="clear" w:color="auto" w:fill="FFFFFF"/>
        <w:spacing w:line="600" w:lineRule="exact"/>
        <w:rPr>
          <w:rFonts w:hint="eastAsia" w:ascii="宋体" w:hAnsi="宋体" w:eastAsia="仿宋_GB2312" w:cs="仿宋_GB2312"/>
          <w:color w:val="auto"/>
          <w:kern w:val="0"/>
          <w:sz w:val="32"/>
          <w:szCs w:val="32"/>
        </w:rPr>
      </w:pPr>
      <w:r>
        <w:rPr>
          <w:rFonts w:hint="eastAsia" w:ascii="宋体" w:hAnsi="宋体" w:eastAsia="仿宋_GB2312" w:cs="仿宋_GB2312"/>
          <w:color w:val="auto"/>
          <w:kern w:val="0"/>
          <w:sz w:val="32"/>
          <w:szCs w:val="32"/>
        </w:rPr>
        <w:t>　　（四）应急管理部所属的消防救援部门取得的罚没收入，50%缴入中央国库，50%缴入地方国库。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（五）国家市场监督管理总局所属的反垄断部门与地方反垄断部门联合办理或者委托地方查办的重大案件取得的罚没收入，全额缴入中央国库。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（六）</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国有企业、事业单位监察机构没收、追缴的违法所得，按照国有企业、事业单位隶属关系全额缴入中央或者地方国库。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（七）中央政法机关</w:t>
      </w:r>
      <w:r>
        <w:rPr>
          <w:rFonts w:hint="eastAsia" w:ascii="宋体" w:hAnsi="宋体" w:eastAsia="仿宋_GB2312" w:cs="仿宋_GB2312"/>
          <w:color w:val="auto"/>
          <w:kern w:val="0"/>
          <w:sz w:val="32"/>
          <w:szCs w:val="32"/>
          <w:lang w:eastAsia="zh-CN"/>
        </w:rPr>
        <w:t>、</w:t>
      </w:r>
      <w:r>
        <w:rPr>
          <w:rFonts w:hint="eastAsia" w:ascii="黑体" w:hAnsi="黑体" w:eastAsia="黑体" w:cs="黑体"/>
          <w:color w:val="auto"/>
          <w:kern w:val="0"/>
          <w:sz w:val="32"/>
          <w:szCs w:val="32"/>
          <w:lang w:eastAsia="zh-CN"/>
        </w:rPr>
        <w:t>省级政法机关</w:t>
      </w:r>
      <w:r>
        <w:rPr>
          <w:rFonts w:hint="eastAsia" w:ascii="宋体" w:hAnsi="宋体" w:eastAsia="仿宋_GB2312" w:cs="仿宋_GB2312"/>
          <w:color w:val="auto"/>
          <w:kern w:val="0"/>
          <w:sz w:val="32"/>
          <w:szCs w:val="32"/>
        </w:rPr>
        <w:t>交办案件按照有关规定执行。</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（八）财政部规定的其他情形。</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第二十九条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罚没物品处置收入，可以按扣除处置该罚没物品直接支出后的余额，作为罚没收入上缴；政府预算已经安排罚没物品处置专项经费的，不得扣除处置该罚没物品的直接支出。</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前款所称处置罚没物品直接支出包括质量鉴定、</w:t>
      </w:r>
      <w:r>
        <w:rPr>
          <w:rFonts w:hint="eastAsia" w:ascii="黑体" w:hAnsi="黑体" w:eastAsia="黑体" w:cs="黑体"/>
          <w:color w:val="auto"/>
          <w:kern w:val="0"/>
          <w:sz w:val="32"/>
          <w:szCs w:val="32"/>
          <w:lang w:eastAsia="zh-CN"/>
        </w:rPr>
        <w:t>检验检疫、拍卖佣金、</w:t>
      </w:r>
      <w:r>
        <w:rPr>
          <w:rFonts w:hint="eastAsia" w:ascii="宋体" w:hAnsi="宋体" w:eastAsia="仿宋_GB2312" w:cs="仿宋_GB2312"/>
          <w:color w:val="auto"/>
          <w:kern w:val="0"/>
          <w:sz w:val="32"/>
          <w:szCs w:val="32"/>
        </w:rPr>
        <w:t>评估和必要的修复费用。</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第三十条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罚没收入的缴库，按下列规定执行：</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（一）执法机关取得的罚没收入，除当场收缴的罚款和财政部另有规定外，应当在取得之日缴入财政专户或者国库；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（二）执法人员依法当场收缴罚款的，执法机关应当自收到款项之日起</w:t>
      </w: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个工</w:t>
      </w:r>
      <w:r>
        <w:rPr>
          <w:rFonts w:hint="eastAsia" w:ascii="宋体" w:hAnsi="宋体" w:eastAsia="仿宋_GB2312" w:cs="仿宋_GB2312"/>
          <w:color w:val="auto"/>
          <w:kern w:val="0"/>
          <w:sz w:val="32"/>
          <w:szCs w:val="32"/>
        </w:rPr>
        <w:t>作日内缴入财政专户或者国库；</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（三）委托拍卖机构拍卖罚没物品取得的变价款，由委托方自收到款项之日起</w:t>
      </w:r>
      <w:r>
        <w:rPr>
          <w:rFonts w:ascii="仿宋_GB2312" w:hAnsi="宋体" w:eastAsia="仿宋_GB2312" w:cs="仿宋_GB2312"/>
          <w:color w:val="auto"/>
          <w:kern w:val="0"/>
          <w:sz w:val="32"/>
          <w:szCs w:val="32"/>
        </w:rPr>
        <w:t>2</w:t>
      </w:r>
      <w:r>
        <w:rPr>
          <w:rFonts w:hint="eastAsia" w:ascii="仿宋_GB2312" w:hAnsi="宋体" w:eastAsia="仿宋_GB2312" w:cs="仿宋_GB2312"/>
          <w:color w:val="auto"/>
          <w:kern w:val="0"/>
          <w:sz w:val="32"/>
          <w:szCs w:val="32"/>
        </w:rPr>
        <w:t>个</w:t>
      </w:r>
      <w:r>
        <w:rPr>
          <w:rFonts w:hint="eastAsia" w:ascii="宋体" w:hAnsi="宋体" w:eastAsia="仿宋_GB2312" w:cs="仿宋_GB2312"/>
          <w:color w:val="auto"/>
          <w:kern w:val="0"/>
          <w:sz w:val="32"/>
          <w:szCs w:val="32"/>
        </w:rPr>
        <w:t>工作日内缴入财政专户或者国库。</w:t>
      </w:r>
    </w:p>
    <w:p>
      <w:pPr>
        <w:spacing w:line="600" w:lineRule="exact"/>
        <w:ind w:firstLine="642" w:firstLineChars="200"/>
        <w:rPr>
          <w:rFonts w:hint="eastAsia" w:ascii="黑体" w:hAnsi="黑体" w:eastAsia="黑体" w:cs="黑体"/>
          <w:color w:val="auto"/>
          <w:kern w:val="0"/>
          <w:sz w:val="32"/>
          <w:szCs w:val="32"/>
          <w:lang w:eastAsia="zh-CN"/>
        </w:rPr>
      </w:pPr>
      <w:r>
        <w:rPr>
          <w:rFonts w:hint="eastAsia" w:ascii="宋体" w:hAnsi="宋体" w:eastAsia="仿宋_GB2312" w:cs="仿宋_GB2312"/>
          <w:b/>
          <w:bCs/>
          <w:color w:val="auto"/>
          <w:kern w:val="0"/>
          <w:sz w:val="32"/>
          <w:szCs w:val="32"/>
          <w:lang w:eastAsia="zh-CN"/>
        </w:rPr>
        <w:t>第三十一条</w:t>
      </w:r>
      <w:r>
        <w:rPr>
          <w:rFonts w:hint="eastAsia" w:ascii="宋体" w:hAnsi="宋体" w:eastAsia="仿宋_GB2312" w:cs="仿宋_GB2312"/>
          <w:color w:val="auto"/>
          <w:kern w:val="0"/>
          <w:sz w:val="32"/>
          <w:szCs w:val="32"/>
          <w:lang w:val="en-US" w:eastAsia="zh-CN"/>
        </w:rPr>
        <w:t xml:space="preserve"> </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政府预算收入中罚没收入预算为预测性指标，不作为收入任务指标下达。</w:t>
      </w:r>
      <w:r>
        <w:rPr>
          <w:rFonts w:hint="eastAsia" w:ascii="黑体" w:hAnsi="黑体" w:eastAsia="黑体" w:cs="黑体"/>
          <w:color w:val="auto"/>
          <w:kern w:val="0"/>
          <w:sz w:val="32"/>
          <w:szCs w:val="32"/>
          <w:lang w:eastAsia="zh-CN"/>
        </w:rPr>
        <w:t>财政部门编制收入预算草案时，应当征求执法机关意见。执法机关应当按照财政部门的要求提供下一年度罚没收入预算征收预测情况。</w:t>
      </w:r>
    </w:p>
    <w:p>
      <w:pPr>
        <w:widowControl/>
        <w:shd w:val="clear" w:color="auto" w:fill="FFFFFF"/>
        <w:spacing w:line="600" w:lineRule="exact"/>
        <w:ind w:firstLine="645"/>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执法机关的办案经费由</w:t>
      </w:r>
      <w:r>
        <w:rPr>
          <w:rFonts w:hint="eastAsia" w:ascii="宋体" w:hAnsi="宋体" w:eastAsia="仿宋_GB2312" w:cs="仿宋_GB2312"/>
          <w:b w:val="0"/>
          <w:bCs w:val="0"/>
          <w:color w:val="auto"/>
          <w:kern w:val="0"/>
          <w:sz w:val="32"/>
          <w:szCs w:val="32"/>
          <w:lang w:eastAsia="zh-CN"/>
        </w:rPr>
        <w:t>本级</w:t>
      </w:r>
      <w:r>
        <w:rPr>
          <w:rFonts w:hint="eastAsia" w:ascii="宋体" w:hAnsi="宋体" w:eastAsia="仿宋_GB2312" w:cs="仿宋_GB2312"/>
          <w:color w:val="auto"/>
          <w:kern w:val="0"/>
          <w:sz w:val="32"/>
          <w:szCs w:val="32"/>
        </w:rPr>
        <w:t>政府预算统筹保障，执法机关经费预算安排不得与该单位任何年度上缴的罚没收入挂钩。</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第三十二条</w:t>
      </w:r>
      <w:r>
        <w:rPr>
          <w:rFonts w:hint="eastAsia" w:ascii="宋体" w:hAnsi="宋体" w:eastAsia="仿宋_GB2312" w:cs="仿宋_GB2312"/>
          <w:color w:val="auto"/>
          <w:kern w:val="0"/>
          <w:sz w:val="32"/>
          <w:szCs w:val="32"/>
          <w:lang w:val="en-US" w:eastAsia="zh-CN"/>
        </w:rPr>
        <w:t xml:space="preserve"> </w:t>
      </w:r>
      <w:r>
        <w:rPr>
          <w:rFonts w:ascii="宋体" w:eastAsia="仿宋_GB2312" w:cs="Times New Roman"/>
          <w:color w:val="auto"/>
          <w:kern w:val="0"/>
          <w:sz w:val="32"/>
          <w:szCs w:val="32"/>
        </w:rPr>
        <w:t> </w:t>
      </w:r>
      <w:r>
        <w:rPr>
          <w:rFonts w:hint="eastAsia" w:ascii="宋体" w:hAnsi="宋体" w:eastAsia="仿宋_GB2312" w:cs="仿宋_GB2312"/>
          <w:color w:val="auto"/>
          <w:kern w:val="0"/>
          <w:sz w:val="32"/>
          <w:szCs w:val="32"/>
        </w:rPr>
        <w:t>依法退还多缴、错缴等罚没收入，应当按照</w:t>
      </w:r>
      <w:r>
        <w:rPr>
          <w:rFonts w:hint="eastAsia" w:ascii="宋体" w:hAnsi="宋体" w:eastAsia="仿宋_GB2312" w:cs="仿宋_GB2312"/>
          <w:color w:val="auto"/>
          <w:kern w:val="0"/>
          <w:sz w:val="32"/>
          <w:szCs w:val="32"/>
          <w:lang w:eastAsia="zh-CN"/>
        </w:rPr>
        <w:t>本级财政部门</w:t>
      </w:r>
      <w:r>
        <w:rPr>
          <w:rFonts w:hint="eastAsia" w:ascii="宋体" w:hAnsi="宋体" w:eastAsia="仿宋_GB2312" w:cs="仿宋_GB2312"/>
          <w:color w:val="auto"/>
          <w:kern w:val="0"/>
          <w:sz w:val="32"/>
          <w:szCs w:val="32"/>
        </w:rPr>
        <w:t>有关规定办理。</w:t>
      </w:r>
    </w:p>
    <w:p>
      <w:pPr>
        <w:widowControl/>
        <w:shd w:val="clear" w:color="auto" w:fill="FFFFFF"/>
        <w:spacing w:line="600" w:lineRule="exact"/>
        <w:ind w:firstLine="645"/>
        <w:rPr>
          <w:rFonts w:hint="eastAsia" w:ascii="黑体" w:hAnsi="黑体" w:eastAsia="黑体" w:cs="黑体"/>
          <w:color w:val="auto"/>
          <w:kern w:val="0"/>
          <w:sz w:val="32"/>
          <w:szCs w:val="32"/>
          <w:lang w:eastAsia="zh-CN"/>
        </w:rPr>
      </w:pPr>
      <w:r>
        <w:rPr>
          <w:rFonts w:hint="eastAsia" w:ascii="宋体" w:hAnsi="宋体" w:eastAsia="仿宋_GB2312" w:cs="仿宋_GB2312"/>
          <w:b/>
          <w:bCs/>
          <w:color w:val="auto"/>
          <w:kern w:val="0"/>
          <w:sz w:val="32"/>
          <w:szCs w:val="32"/>
          <w:lang w:eastAsia="zh-CN"/>
        </w:rPr>
        <w:t>第三十三条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执法机关在罚没财物管理工作中，应当按照规定使用</w:t>
      </w:r>
      <w:r>
        <w:rPr>
          <w:rFonts w:hint="eastAsia" w:ascii="黑体" w:hAnsi="黑体" w:eastAsia="黑体" w:cs="黑体"/>
          <w:color w:val="auto"/>
          <w:kern w:val="0"/>
          <w:sz w:val="32"/>
          <w:szCs w:val="32"/>
          <w:lang w:eastAsia="zh-CN"/>
        </w:rPr>
        <w:t>财政部门统一监（印）制的财政票据。</w:t>
      </w:r>
    </w:p>
    <w:p>
      <w:pPr>
        <w:widowControl/>
        <w:shd w:val="clear" w:color="auto" w:fill="FFFFFF"/>
        <w:spacing w:line="600" w:lineRule="exact"/>
        <w:ind w:firstLine="645"/>
        <w:rPr>
          <w:rFonts w:hint="eastAsia" w:ascii="宋体" w:hAnsi="宋体" w:eastAsia="仿宋_GB2312" w:cs="仿宋_GB2312"/>
          <w:color w:val="auto"/>
          <w:kern w:val="0"/>
          <w:sz w:val="32"/>
          <w:szCs w:val="32"/>
        </w:rPr>
      </w:pPr>
      <w:r>
        <w:rPr>
          <w:rFonts w:hint="eastAsia" w:ascii="宋体" w:hAnsi="宋体" w:eastAsia="仿宋_GB2312" w:cs="仿宋_GB2312"/>
          <w:b/>
          <w:bCs/>
          <w:color w:val="auto"/>
          <w:kern w:val="0"/>
          <w:sz w:val="32"/>
          <w:szCs w:val="32"/>
          <w:lang w:eastAsia="zh-CN"/>
        </w:rPr>
        <w:t>第三十四条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对向执法机关检举、揭发各类违法案件的人员，经查实后，按照相关规定给予奖励，奖励经费不得从案件罚没收入中列支。</w:t>
      </w:r>
    </w:p>
    <w:p>
      <w:pPr>
        <w:widowControl/>
        <w:shd w:val="clear" w:color="auto" w:fill="FFFFFF"/>
        <w:spacing w:line="600" w:lineRule="exact"/>
        <w:ind w:firstLine="645"/>
        <w:rPr>
          <w:rFonts w:hint="eastAsia" w:ascii="宋体" w:hAnsi="宋体" w:eastAsia="仿宋_GB2312" w:cs="仿宋_GB2312"/>
          <w:color w:val="auto"/>
          <w:kern w:val="0"/>
          <w:sz w:val="32"/>
          <w:szCs w:val="32"/>
        </w:rPr>
      </w:pPr>
    </w:p>
    <w:p>
      <w:pPr>
        <w:widowControl/>
        <w:shd w:val="clear" w:color="auto" w:fill="FFFFFF"/>
        <w:spacing w:line="600" w:lineRule="exact"/>
        <w:jc w:val="center"/>
        <w:rPr>
          <w:rFonts w:ascii="宋体" w:eastAsia="楷体_GB2312" w:cs="Times New Roman"/>
          <w:b/>
          <w:bCs/>
          <w:color w:val="auto"/>
          <w:kern w:val="0"/>
          <w:sz w:val="32"/>
          <w:szCs w:val="32"/>
        </w:rPr>
      </w:pPr>
      <w:r>
        <w:rPr>
          <w:rFonts w:hint="eastAsia" w:ascii="宋体" w:hAnsi="宋体" w:eastAsia="楷体_GB2312" w:cs="楷体_GB2312"/>
          <w:b/>
          <w:bCs/>
          <w:color w:val="auto"/>
          <w:kern w:val="0"/>
          <w:sz w:val="32"/>
          <w:szCs w:val="32"/>
        </w:rPr>
        <w:t>第五章</w:t>
      </w:r>
      <w:r>
        <w:rPr>
          <w:rFonts w:ascii="宋体" w:eastAsia="楷体_GB2312" w:cs="Times New Roman"/>
          <w:b/>
          <w:bCs/>
          <w:color w:val="auto"/>
          <w:kern w:val="0"/>
          <w:sz w:val="32"/>
          <w:szCs w:val="32"/>
        </w:rPr>
        <w:t> </w:t>
      </w:r>
      <w:r>
        <w:rPr>
          <w:rFonts w:ascii="宋体" w:eastAsia="楷体_GB2312" w:cs="宋体"/>
          <w:b/>
          <w:bCs/>
          <w:color w:val="auto"/>
          <w:kern w:val="0"/>
          <w:sz w:val="32"/>
          <w:szCs w:val="32"/>
        </w:rPr>
        <w:t xml:space="preserve"> </w:t>
      </w:r>
      <w:r>
        <w:rPr>
          <w:rFonts w:hint="eastAsia" w:ascii="宋体" w:hAnsi="宋体" w:eastAsia="楷体_GB2312" w:cs="楷体_GB2312"/>
          <w:b/>
          <w:bCs/>
          <w:color w:val="auto"/>
          <w:kern w:val="0"/>
          <w:sz w:val="32"/>
          <w:szCs w:val="32"/>
        </w:rPr>
        <w:t>附则</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第三十五条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lang w:eastAsia="zh-CN"/>
        </w:rPr>
        <w:t>各级财政部门</w:t>
      </w:r>
      <w:r>
        <w:rPr>
          <w:rFonts w:hint="eastAsia" w:ascii="宋体" w:hAnsi="宋体" w:eastAsia="仿宋_GB2312" w:cs="仿宋_GB2312"/>
          <w:color w:val="auto"/>
          <w:kern w:val="0"/>
          <w:sz w:val="32"/>
          <w:szCs w:val="32"/>
        </w:rPr>
        <w:t>、执法机关、政府公物仓及其工作人员在罚没财物管理、处置工作中，存在违反本办法规定的行为，以及其他滥用职权、玩忽职守、徇私舞弊等违法违纪行为的，按照《中华人民共和国监察法》、《财政违法行为处罚处分条例》等国家有关规定追究相应责任；构成犯罪的，依法追究刑事责任。</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w:t>
      </w:r>
      <w:r>
        <w:rPr>
          <w:rFonts w:hint="eastAsia" w:ascii="宋体" w:hAnsi="宋体" w:eastAsia="仿宋_GB2312" w:cs="仿宋_GB2312"/>
          <w:b/>
          <w:bCs/>
          <w:color w:val="auto"/>
          <w:kern w:val="0"/>
          <w:sz w:val="32"/>
          <w:szCs w:val="32"/>
          <w:lang w:eastAsia="zh-CN"/>
        </w:rPr>
        <w:t>第三十六条 </w:t>
      </w:r>
      <w:r>
        <w:rPr>
          <w:rFonts w:hint="eastAsia" w:ascii="宋体" w:hAnsi="宋体" w:eastAsia="仿宋_GB2312" w:cs="仿宋_GB2312"/>
          <w:color w:val="auto"/>
          <w:kern w:val="0"/>
          <w:sz w:val="32"/>
          <w:szCs w:val="32"/>
        </w:rPr>
        <w:t>执法机关扣押的涉案财物，有关单位、个人向执法机关声明放弃的或者无人认领的财物；党的纪律检查机关依据党内法规收缴的违纪所得以及按规定登记上交的礼品、礼金等财物；党政机关收到的采购、人事等合同违约金；党政机关根据国家赔偿法履行赔偿义务之后向故意或者有重大过失的工作人员、受委托的组织或者个人追偿的赔偿款等，参照罚没财物管理。国家另有规定的除外。</w:t>
      </w:r>
    </w:p>
    <w:p>
      <w:pPr>
        <w:widowControl/>
        <w:shd w:val="clear" w:color="auto" w:fill="FFFFFF"/>
        <w:spacing w:line="600" w:lineRule="exact"/>
        <w:rPr>
          <w:rFonts w:ascii="宋体" w:eastAsia="仿宋_GB2312" w:cs="Times New Roman"/>
          <w:color w:val="auto"/>
          <w:kern w:val="0"/>
          <w:sz w:val="32"/>
          <w:szCs w:val="32"/>
        </w:rPr>
      </w:pPr>
      <w:r>
        <w:rPr>
          <w:rFonts w:hint="eastAsia" w:ascii="宋体" w:hAnsi="宋体" w:eastAsia="仿宋_GB2312" w:cs="仿宋_GB2312"/>
          <w:color w:val="auto"/>
          <w:kern w:val="0"/>
          <w:sz w:val="32"/>
          <w:szCs w:val="32"/>
        </w:rPr>
        <w:t>　　国有企业、事业单位党的纪检机构依据党内法规收缴的违纪所得，以及按规定登记上交的礼品、礼金等财物，按照国有企业、事业单位隶属关系全额缴入中央或者地方国库。</w:t>
      </w:r>
    </w:p>
    <w:p>
      <w:pPr>
        <w:widowControl/>
        <w:shd w:val="clear" w:color="auto" w:fill="FFFFFF"/>
        <w:spacing w:line="600" w:lineRule="exact"/>
        <w:ind w:firstLine="640"/>
        <w:rPr>
          <w:rFonts w:hint="eastAsia" w:ascii="宋体" w:hAnsi="宋体" w:eastAsia="仿宋_GB2312" w:cs="仿宋_GB2312"/>
          <w:color w:val="auto"/>
          <w:kern w:val="0"/>
          <w:sz w:val="32"/>
          <w:szCs w:val="32"/>
          <w:lang w:eastAsia="zh-CN"/>
        </w:rPr>
      </w:pPr>
      <w:r>
        <w:rPr>
          <w:rFonts w:hint="eastAsia" w:ascii="宋体" w:hAnsi="宋体" w:eastAsia="仿宋_GB2312" w:cs="仿宋_GB2312"/>
          <w:b/>
          <w:bCs/>
          <w:color w:val="auto"/>
          <w:kern w:val="0"/>
          <w:sz w:val="32"/>
          <w:szCs w:val="32"/>
          <w:lang w:eastAsia="zh-CN"/>
        </w:rPr>
        <w:t>第三十七条</w:t>
      </w:r>
      <w:r>
        <w:rPr>
          <w:rFonts w:ascii="宋体" w:eastAsia="仿宋_GB2312" w:cs="Times New Roman"/>
          <w:color w:val="auto"/>
          <w:kern w:val="0"/>
          <w:sz w:val="32"/>
          <w:szCs w:val="32"/>
        </w:rPr>
        <w:t> </w:t>
      </w:r>
      <w:r>
        <w:rPr>
          <w:rFonts w:hint="eastAsia" w:ascii="宋体" w:eastAsia="仿宋_GB2312" w:cs="Times New Roman"/>
          <w:color w:val="auto"/>
          <w:kern w:val="0"/>
          <w:sz w:val="32"/>
          <w:szCs w:val="32"/>
          <w:lang w:val="en-US" w:eastAsia="zh-CN"/>
        </w:rPr>
        <w:t xml:space="preserve"> </w:t>
      </w:r>
      <w:r>
        <w:rPr>
          <w:rFonts w:hint="eastAsia" w:ascii="宋体" w:hAnsi="宋体" w:eastAsia="仿宋_GB2312" w:cs="仿宋_GB2312"/>
          <w:color w:val="auto"/>
          <w:kern w:val="0"/>
          <w:sz w:val="32"/>
          <w:szCs w:val="32"/>
        </w:rPr>
        <w:t>本办法自</w:t>
      </w:r>
      <w:r>
        <w:rPr>
          <w:rFonts w:hint="eastAsia" w:ascii="宋体" w:hAnsi="宋体" w:eastAsia="仿宋_GB2312" w:cs="仿宋_GB2312"/>
          <w:color w:val="auto"/>
          <w:kern w:val="0"/>
          <w:sz w:val="32"/>
          <w:szCs w:val="32"/>
          <w:lang w:val="en-US" w:eastAsia="zh-CN"/>
        </w:rPr>
        <w:t>XX年XX月XX日</w:t>
      </w:r>
      <w:r>
        <w:rPr>
          <w:rFonts w:hint="eastAsia" w:ascii="宋体" w:hAnsi="宋体" w:eastAsia="仿宋_GB2312" w:cs="仿宋_GB2312"/>
          <w:color w:val="auto"/>
          <w:kern w:val="0"/>
          <w:sz w:val="32"/>
          <w:szCs w:val="32"/>
        </w:rPr>
        <w:t>起实施</w:t>
      </w:r>
      <w:r>
        <w:rPr>
          <w:rFonts w:hint="eastAsia" w:ascii="宋体" w:hAnsi="宋体" w:eastAsia="仿宋_GB2312" w:cs="仿宋_GB2312"/>
          <w:color w:val="auto"/>
          <w:kern w:val="0"/>
          <w:sz w:val="32"/>
          <w:szCs w:val="32"/>
          <w:lang w:eastAsia="zh-CN"/>
        </w:rPr>
        <w:t>，</w:t>
      </w:r>
      <w:r>
        <w:rPr>
          <w:rFonts w:hint="eastAsia" w:ascii="黑体" w:hAnsi="黑体" w:eastAsia="黑体" w:cs="黑体"/>
          <w:color w:val="auto"/>
          <w:kern w:val="0"/>
          <w:sz w:val="32"/>
          <w:szCs w:val="32"/>
          <w:lang w:eastAsia="zh-CN"/>
        </w:rPr>
        <w:t>有效期五年。</w:t>
      </w:r>
      <w:r>
        <w:rPr>
          <w:rFonts w:hint="eastAsia" w:ascii="宋体" w:hAnsi="宋体" w:eastAsia="仿宋_GB2312" w:cs="仿宋_GB2312"/>
          <w:color w:val="auto"/>
          <w:kern w:val="0"/>
          <w:sz w:val="32"/>
          <w:szCs w:val="32"/>
        </w:rPr>
        <w:t>本办法实施前已经形成的罚没财物，尚未处置的，按照本办法执行。</w:t>
      </w:r>
      <w:r>
        <w:rPr>
          <w:rFonts w:hint="eastAsia" w:ascii="黑体" w:hAnsi="黑体" w:eastAsia="黑体" w:cs="黑体"/>
          <w:color w:val="auto"/>
          <w:kern w:val="0"/>
          <w:sz w:val="32"/>
          <w:szCs w:val="32"/>
          <w:lang w:eastAsia="zh-CN"/>
        </w:rPr>
        <w:t>国家另有规定的，从其规定。</w:t>
      </w:r>
    </w:p>
    <w:p>
      <w:pPr>
        <w:rPr>
          <w:rFonts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1F"/>
    <w:rsid w:val="000019D2"/>
    <w:rsid w:val="00037C68"/>
    <w:rsid w:val="00060494"/>
    <w:rsid w:val="00072183"/>
    <w:rsid w:val="00073F99"/>
    <w:rsid w:val="00087C99"/>
    <w:rsid w:val="00092111"/>
    <w:rsid w:val="000A1AF9"/>
    <w:rsid w:val="000F79A7"/>
    <w:rsid w:val="001200ED"/>
    <w:rsid w:val="00125842"/>
    <w:rsid w:val="00150B75"/>
    <w:rsid w:val="0017392E"/>
    <w:rsid w:val="00175895"/>
    <w:rsid w:val="00175AE5"/>
    <w:rsid w:val="00183C16"/>
    <w:rsid w:val="00194E69"/>
    <w:rsid w:val="001B0249"/>
    <w:rsid w:val="001F6F13"/>
    <w:rsid w:val="002100CF"/>
    <w:rsid w:val="00216504"/>
    <w:rsid w:val="002202F7"/>
    <w:rsid w:val="0025587E"/>
    <w:rsid w:val="0026155A"/>
    <w:rsid w:val="00273074"/>
    <w:rsid w:val="00285B49"/>
    <w:rsid w:val="003373C4"/>
    <w:rsid w:val="003440C8"/>
    <w:rsid w:val="00397644"/>
    <w:rsid w:val="003B0C25"/>
    <w:rsid w:val="003C7B50"/>
    <w:rsid w:val="003D556B"/>
    <w:rsid w:val="003E6F99"/>
    <w:rsid w:val="00406626"/>
    <w:rsid w:val="0043188A"/>
    <w:rsid w:val="0043767C"/>
    <w:rsid w:val="00446D21"/>
    <w:rsid w:val="004617AD"/>
    <w:rsid w:val="004A40B0"/>
    <w:rsid w:val="004B2F0B"/>
    <w:rsid w:val="004C6C78"/>
    <w:rsid w:val="005215C1"/>
    <w:rsid w:val="00534BA7"/>
    <w:rsid w:val="00534C35"/>
    <w:rsid w:val="00550912"/>
    <w:rsid w:val="00581A2B"/>
    <w:rsid w:val="00591FB0"/>
    <w:rsid w:val="005A0732"/>
    <w:rsid w:val="005B011F"/>
    <w:rsid w:val="005F4464"/>
    <w:rsid w:val="00642EB5"/>
    <w:rsid w:val="00674499"/>
    <w:rsid w:val="006B0EB7"/>
    <w:rsid w:val="0070315D"/>
    <w:rsid w:val="007147AE"/>
    <w:rsid w:val="00757FC9"/>
    <w:rsid w:val="00777A20"/>
    <w:rsid w:val="00782144"/>
    <w:rsid w:val="007843B2"/>
    <w:rsid w:val="00786684"/>
    <w:rsid w:val="007F4757"/>
    <w:rsid w:val="00844188"/>
    <w:rsid w:val="008B7D00"/>
    <w:rsid w:val="008C5BBE"/>
    <w:rsid w:val="008D09BD"/>
    <w:rsid w:val="008D6F15"/>
    <w:rsid w:val="008F157A"/>
    <w:rsid w:val="00913DA7"/>
    <w:rsid w:val="00953E1F"/>
    <w:rsid w:val="00995870"/>
    <w:rsid w:val="009B38CA"/>
    <w:rsid w:val="009B4A51"/>
    <w:rsid w:val="00A10FB9"/>
    <w:rsid w:val="00A62138"/>
    <w:rsid w:val="00B64CA1"/>
    <w:rsid w:val="00BA18D9"/>
    <w:rsid w:val="00BA5A0E"/>
    <w:rsid w:val="00BC073C"/>
    <w:rsid w:val="00BE1A32"/>
    <w:rsid w:val="00BF1407"/>
    <w:rsid w:val="00BF7FBA"/>
    <w:rsid w:val="00C25484"/>
    <w:rsid w:val="00C30C6E"/>
    <w:rsid w:val="00C33F2E"/>
    <w:rsid w:val="00C42A31"/>
    <w:rsid w:val="00C5532F"/>
    <w:rsid w:val="00C57BA1"/>
    <w:rsid w:val="00C85F41"/>
    <w:rsid w:val="00CA1B59"/>
    <w:rsid w:val="00CC3D14"/>
    <w:rsid w:val="00CC7C82"/>
    <w:rsid w:val="00CD0E9E"/>
    <w:rsid w:val="00D2331B"/>
    <w:rsid w:val="00DB270F"/>
    <w:rsid w:val="00DB77BB"/>
    <w:rsid w:val="00E17995"/>
    <w:rsid w:val="00E47CB8"/>
    <w:rsid w:val="00E5703A"/>
    <w:rsid w:val="00E756BA"/>
    <w:rsid w:val="00EA60D7"/>
    <w:rsid w:val="00ED3EC2"/>
    <w:rsid w:val="00F332EB"/>
    <w:rsid w:val="00F87801"/>
    <w:rsid w:val="00FA5371"/>
    <w:rsid w:val="00FF54D3"/>
    <w:rsid w:val="05F75DCC"/>
    <w:rsid w:val="067008C8"/>
    <w:rsid w:val="07E146E3"/>
    <w:rsid w:val="0A06014D"/>
    <w:rsid w:val="0DF3D8B3"/>
    <w:rsid w:val="0EEBBEC2"/>
    <w:rsid w:val="0FFF54E5"/>
    <w:rsid w:val="11D83E24"/>
    <w:rsid w:val="177747A6"/>
    <w:rsid w:val="184B1090"/>
    <w:rsid w:val="19DEBBC7"/>
    <w:rsid w:val="1D5FAEAD"/>
    <w:rsid w:val="1F77EFCB"/>
    <w:rsid w:val="27F70EA7"/>
    <w:rsid w:val="297BE32C"/>
    <w:rsid w:val="2D1665C3"/>
    <w:rsid w:val="2D7F3C59"/>
    <w:rsid w:val="2DFB3519"/>
    <w:rsid w:val="2E3D5178"/>
    <w:rsid w:val="2EBFF5F7"/>
    <w:rsid w:val="2EEBC69F"/>
    <w:rsid w:val="2F5FDF22"/>
    <w:rsid w:val="2FA57D39"/>
    <w:rsid w:val="2FCA050F"/>
    <w:rsid w:val="318663F2"/>
    <w:rsid w:val="33DDD726"/>
    <w:rsid w:val="34B9F885"/>
    <w:rsid w:val="35ED02F7"/>
    <w:rsid w:val="365DB196"/>
    <w:rsid w:val="37BF96F2"/>
    <w:rsid w:val="39BD9962"/>
    <w:rsid w:val="39FD644A"/>
    <w:rsid w:val="3BFFD9F9"/>
    <w:rsid w:val="3CEFCBB0"/>
    <w:rsid w:val="3D1EA64F"/>
    <w:rsid w:val="3DF9C874"/>
    <w:rsid w:val="3E96D1D7"/>
    <w:rsid w:val="3F3F2F34"/>
    <w:rsid w:val="3F483F03"/>
    <w:rsid w:val="3F7D2ABB"/>
    <w:rsid w:val="3FF32C83"/>
    <w:rsid w:val="3FFFDD86"/>
    <w:rsid w:val="414368D8"/>
    <w:rsid w:val="41BDAFA3"/>
    <w:rsid w:val="44484402"/>
    <w:rsid w:val="453A4C67"/>
    <w:rsid w:val="46686608"/>
    <w:rsid w:val="47BEE2BD"/>
    <w:rsid w:val="4E539ADF"/>
    <w:rsid w:val="4FFA47AA"/>
    <w:rsid w:val="4FFFF2F9"/>
    <w:rsid w:val="51EB1950"/>
    <w:rsid w:val="51FED7AB"/>
    <w:rsid w:val="539F74CE"/>
    <w:rsid w:val="549170E2"/>
    <w:rsid w:val="55B44244"/>
    <w:rsid w:val="55D42BC7"/>
    <w:rsid w:val="57EE7C91"/>
    <w:rsid w:val="57F68850"/>
    <w:rsid w:val="57F7B8EE"/>
    <w:rsid w:val="57FF46D7"/>
    <w:rsid w:val="5869E0C6"/>
    <w:rsid w:val="597FE3F8"/>
    <w:rsid w:val="59EF8E59"/>
    <w:rsid w:val="59F8DCE4"/>
    <w:rsid w:val="5BCBDFB8"/>
    <w:rsid w:val="5BFF0D2C"/>
    <w:rsid w:val="5C7E4140"/>
    <w:rsid w:val="5CF66BE0"/>
    <w:rsid w:val="5D937FA1"/>
    <w:rsid w:val="5DF76F6A"/>
    <w:rsid w:val="5E53D082"/>
    <w:rsid w:val="5EFA7CCD"/>
    <w:rsid w:val="5EFFD0E8"/>
    <w:rsid w:val="5F774775"/>
    <w:rsid w:val="5F77E35D"/>
    <w:rsid w:val="5F8C39D2"/>
    <w:rsid w:val="5FF740FF"/>
    <w:rsid w:val="63DAE734"/>
    <w:rsid w:val="63FC9C30"/>
    <w:rsid w:val="63FF370F"/>
    <w:rsid w:val="652D1984"/>
    <w:rsid w:val="66352B84"/>
    <w:rsid w:val="670C525C"/>
    <w:rsid w:val="67DF396C"/>
    <w:rsid w:val="68C6387F"/>
    <w:rsid w:val="6B597CE3"/>
    <w:rsid w:val="6B942A2D"/>
    <w:rsid w:val="6BB876AC"/>
    <w:rsid w:val="6BDD1F15"/>
    <w:rsid w:val="6BE38FA2"/>
    <w:rsid w:val="6C7E4A90"/>
    <w:rsid w:val="6CBE32A0"/>
    <w:rsid w:val="6D83C83A"/>
    <w:rsid w:val="6DABE7EF"/>
    <w:rsid w:val="6DF72358"/>
    <w:rsid w:val="6E3C0FC8"/>
    <w:rsid w:val="6F1721A7"/>
    <w:rsid w:val="6F7740E1"/>
    <w:rsid w:val="6F7F7FF9"/>
    <w:rsid w:val="71FB8515"/>
    <w:rsid w:val="71FFE820"/>
    <w:rsid w:val="76393CA6"/>
    <w:rsid w:val="76DB1041"/>
    <w:rsid w:val="76DB1747"/>
    <w:rsid w:val="77635097"/>
    <w:rsid w:val="77AA4D41"/>
    <w:rsid w:val="77B4C5B8"/>
    <w:rsid w:val="77B5D374"/>
    <w:rsid w:val="77DFF39D"/>
    <w:rsid w:val="77F713E0"/>
    <w:rsid w:val="78884D2D"/>
    <w:rsid w:val="79BF9851"/>
    <w:rsid w:val="7ADF9CBB"/>
    <w:rsid w:val="7B6B0ED5"/>
    <w:rsid w:val="7BBF2824"/>
    <w:rsid w:val="7BDFDF55"/>
    <w:rsid w:val="7BFBC6D0"/>
    <w:rsid w:val="7CB8564E"/>
    <w:rsid w:val="7CF717DB"/>
    <w:rsid w:val="7D2FED9D"/>
    <w:rsid w:val="7D5FABE2"/>
    <w:rsid w:val="7DD7BB92"/>
    <w:rsid w:val="7DEF121B"/>
    <w:rsid w:val="7DFB4EFF"/>
    <w:rsid w:val="7DFB5651"/>
    <w:rsid w:val="7DFD01BB"/>
    <w:rsid w:val="7E3D2A0A"/>
    <w:rsid w:val="7E9B0055"/>
    <w:rsid w:val="7ED797E1"/>
    <w:rsid w:val="7EFE089B"/>
    <w:rsid w:val="7EFF4E9C"/>
    <w:rsid w:val="7F3EE17A"/>
    <w:rsid w:val="7F3F8693"/>
    <w:rsid w:val="7F5F8269"/>
    <w:rsid w:val="7F7D556A"/>
    <w:rsid w:val="7F7D58EC"/>
    <w:rsid w:val="7F9D3026"/>
    <w:rsid w:val="7FBD99C2"/>
    <w:rsid w:val="7FBE8F86"/>
    <w:rsid w:val="7FC7F102"/>
    <w:rsid w:val="7FDD456C"/>
    <w:rsid w:val="7FDF2166"/>
    <w:rsid w:val="7FF9E3F3"/>
    <w:rsid w:val="7FFBEF79"/>
    <w:rsid w:val="7FFD5A9B"/>
    <w:rsid w:val="7FFF380A"/>
    <w:rsid w:val="7FFFC5E2"/>
    <w:rsid w:val="8FF9B2A5"/>
    <w:rsid w:val="95FAED75"/>
    <w:rsid w:val="9D4B5CFF"/>
    <w:rsid w:val="9E6FEF78"/>
    <w:rsid w:val="9FEF4C44"/>
    <w:rsid w:val="9FFF55FA"/>
    <w:rsid w:val="A6F7C539"/>
    <w:rsid w:val="A7AF0EA5"/>
    <w:rsid w:val="ABFEC199"/>
    <w:rsid w:val="AEB71985"/>
    <w:rsid w:val="AEB9CF72"/>
    <w:rsid w:val="AFAE6B39"/>
    <w:rsid w:val="AFDFFB78"/>
    <w:rsid w:val="B1FBB258"/>
    <w:rsid w:val="B3B71C5B"/>
    <w:rsid w:val="B7BDC53B"/>
    <w:rsid w:val="B7DF2644"/>
    <w:rsid w:val="BB3C730F"/>
    <w:rsid w:val="BBBB3C66"/>
    <w:rsid w:val="BBD3203C"/>
    <w:rsid w:val="BBF7A460"/>
    <w:rsid w:val="BCABE485"/>
    <w:rsid w:val="BCEC3872"/>
    <w:rsid w:val="BDEF036B"/>
    <w:rsid w:val="BDFB0907"/>
    <w:rsid w:val="BE7BDBDD"/>
    <w:rsid w:val="BFED352D"/>
    <w:rsid w:val="BFEEC588"/>
    <w:rsid w:val="CAFB31B9"/>
    <w:rsid w:val="CDFF813A"/>
    <w:rsid w:val="CF6F3B31"/>
    <w:rsid w:val="CF9B52C0"/>
    <w:rsid w:val="D4ED1F12"/>
    <w:rsid w:val="D57FB0D6"/>
    <w:rsid w:val="DD796F38"/>
    <w:rsid w:val="DDFE47A5"/>
    <w:rsid w:val="DEDDBD00"/>
    <w:rsid w:val="DEE5C38A"/>
    <w:rsid w:val="DF4F0B82"/>
    <w:rsid w:val="DF7E07EC"/>
    <w:rsid w:val="DFBF0CD8"/>
    <w:rsid w:val="DFFB0BE4"/>
    <w:rsid w:val="DFFB3A14"/>
    <w:rsid w:val="DFFE7F6F"/>
    <w:rsid w:val="E3B74863"/>
    <w:rsid w:val="E5DE2598"/>
    <w:rsid w:val="E675BC86"/>
    <w:rsid w:val="E68778AA"/>
    <w:rsid w:val="EBB62B28"/>
    <w:rsid w:val="EBF5EDB2"/>
    <w:rsid w:val="ECBF02F0"/>
    <w:rsid w:val="EDB691F1"/>
    <w:rsid w:val="EDFC8CA8"/>
    <w:rsid w:val="EEFB754B"/>
    <w:rsid w:val="EF74BEB9"/>
    <w:rsid w:val="EFF7BC66"/>
    <w:rsid w:val="EFF7C41E"/>
    <w:rsid w:val="F2BF2A45"/>
    <w:rsid w:val="F37D066F"/>
    <w:rsid w:val="F56FB75E"/>
    <w:rsid w:val="F5772B12"/>
    <w:rsid w:val="F577503A"/>
    <w:rsid w:val="F57F0151"/>
    <w:rsid w:val="F69B4A02"/>
    <w:rsid w:val="F69E0AA5"/>
    <w:rsid w:val="F6FF4230"/>
    <w:rsid w:val="F7F7ABE7"/>
    <w:rsid w:val="F7FB0F92"/>
    <w:rsid w:val="F7FF678E"/>
    <w:rsid w:val="F8DF9070"/>
    <w:rsid w:val="F9EFD60A"/>
    <w:rsid w:val="F9F90D7A"/>
    <w:rsid w:val="FB9D29ED"/>
    <w:rsid w:val="FBF0D22C"/>
    <w:rsid w:val="FCAF1EF7"/>
    <w:rsid w:val="FD3F15BC"/>
    <w:rsid w:val="FD494C95"/>
    <w:rsid w:val="FDDFCFA6"/>
    <w:rsid w:val="FDF5D027"/>
    <w:rsid w:val="FDFB4C3C"/>
    <w:rsid w:val="FDFE6386"/>
    <w:rsid w:val="FF17B85D"/>
    <w:rsid w:val="FF2F9090"/>
    <w:rsid w:val="FF3FE6A4"/>
    <w:rsid w:val="FF777CB8"/>
    <w:rsid w:val="FF8551C4"/>
    <w:rsid w:val="FF998F41"/>
    <w:rsid w:val="FF9A9480"/>
    <w:rsid w:val="FFB1637F"/>
    <w:rsid w:val="FFBD6131"/>
    <w:rsid w:val="FFBE5EB5"/>
    <w:rsid w:val="FFDBC584"/>
    <w:rsid w:val="FFF179F1"/>
    <w:rsid w:val="FFF76057"/>
    <w:rsid w:val="FFFB03E0"/>
    <w:rsid w:val="FFFB2027"/>
    <w:rsid w:val="FFFD33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style>
  <w:style w:type="paragraph" w:styleId="3">
    <w:name w:val="Balloon Text"/>
    <w:basedOn w:val="1"/>
    <w:link w:val="13"/>
    <w:semiHidden/>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2"/>
    <w:semiHidden/>
    <w:qFormat/>
    <w:uiPriority w:val="99"/>
    <w:rPr>
      <w:b/>
      <w:bCs/>
    </w:rPr>
  </w:style>
  <w:style w:type="character" w:styleId="10">
    <w:name w:val="annotation reference"/>
    <w:basedOn w:val="9"/>
    <w:semiHidden/>
    <w:qFormat/>
    <w:uiPriority w:val="99"/>
    <w:rPr>
      <w:sz w:val="21"/>
      <w:szCs w:val="21"/>
    </w:rPr>
  </w:style>
  <w:style w:type="character" w:customStyle="1" w:styleId="11">
    <w:name w:val="Comment Text Char"/>
    <w:basedOn w:val="9"/>
    <w:link w:val="2"/>
    <w:semiHidden/>
    <w:qFormat/>
    <w:locked/>
    <w:uiPriority w:val="99"/>
    <w:rPr>
      <w:sz w:val="21"/>
      <w:szCs w:val="21"/>
    </w:rPr>
  </w:style>
  <w:style w:type="character" w:customStyle="1" w:styleId="12">
    <w:name w:val="Comment Subject Char"/>
    <w:basedOn w:val="11"/>
    <w:link w:val="7"/>
    <w:semiHidden/>
    <w:qFormat/>
    <w:locked/>
    <w:uiPriority w:val="99"/>
    <w:rPr>
      <w:b/>
      <w:bCs/>
    </w:rPr>
  </w:style>
  <w:style w:type="character" w:customStyle="1" w:styleId="13">
    <w:name w:val="Balloon Text Char"/>
    <w:basedOn w:val="9"/>
    <w:link w:val="3"/>
    <w:semiHidden/>
    <w:qFormat/>
    <w:locked/>
    <w:uiPriority w:val="99"/>
    <w:rPr>
      <w:sz w:val="2"/>
      <w:szCs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MS</Company>
  <Pages>13</Pages>
  <Words>873</Words>
  <Characters>4981</Characters>
  <Lines>0</Lines>
  <Paragraphs>0</Paragraphs>
  <TotalTime>11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2021-01-26T06:23:00Z</dcterms:created>
  <dc:creator>USER-</dc:creator>
  <cp:lastModifiedBy>刘洵洵</cp:lastModifiedBy>
  <cp:lastPrinted>2021-07-19T08:13:00Z</cp:lastPrinted>
  <dcterms:modified xsi:type="dcterms:W3CDTF">2024-10-30T09:20:48Z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