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0D" w:rsidRDefault="0086440D">
      <w:pPr>
        <w:ind w:firstLineChars="0" w:firstLine="0"/>
        <w:rPr>
          <w:rFonts w:ascii="方正黑体_GBK" w:eastAsia="方正黑体_GBK" w:cs="方正黑体_GBK"/>
        </w:rPr>
      </w:pPr>
      <w:bookmarkStart w:id="0" w:name="_Toc515306446"/>
      <w:r>
        <w:rPr>
          <w:rFonts w:ascii="方正黑体_GBK" w:eastAsia="方正黑体_GBK" w:cs="方正黑体_GBK" w:hint="eastAsia"/>
        </w:rPr>
        <w:t>附件</w:t>
      </w:r>
      <w:r>
        <w:rPr>
          <w:rFonts w:ascii="方正黑体_GBK" w:eastAsia="方正黑体_GBK" w:cs="方正黑体_GBK"/>
        </w:rPr>
        <w:t>52</w:t>
      </w:r>
    </w:p>
    <w:p w:rsidR="0086440D" w:rsidRDefault="0086440D">
      <w:pPr>
        <w:ind w:firstLineChars="0" w:firstLine="0"/>
        <w:rPr>
          <w:rFonts w:ascii="方正黑体_GBK" w:eastAsia="方正黑体_GBK" w:cs="方正黑体_GBK"/>
        </w:rPr>
      </w:pPr>
    </w:p>
    <w:p w:rsidR="0086440D" w:rsidRDefault="0086440D">
      <w:pPr>
        <w:ind w:firstLineChars="0" w:firstLine="0"/>
        <w:jc w:val="center"/>
        <w:rPr>
          <w:rFonts w:ascii="方正小标宋_GBK" w:eastAsia="方正小标宋_GBK"/>
          <w:sz w:val="44"/>
          <w:szCs w:val="44"/>
        </w:rPr>
      </w:pPr>
      <w:r>
        <w:rPr>
          <w:rFonts w:ascii="方正小标宋_GBK" w:eastAsia="方正小标宋_GBK" w:cs="方正小标宋_GBK" w:hint="eastAsia"/>
          <w:sz w:val="44"/>
          <w:szCs w:val="44"/>
        </w:rPr>
        <w:t>中华人民共和国实施金伯利进程国际证书制度管理规定</w:t>
      </w:r>
      <w:bookmarkEnd w:id="0"/>
    </w:p>
    <w:p w:rsidR="0086440D" w:rsidRDefault="0086440D" w:rsidP="00B714D6">
      <w:pPr>
        <w:widowControl/>
        <w:autoSpaceDN w:val="0"/>
        <w:ind w:firstLine="31680"/>
        <w:rPr>
          <w:b/>
          <w:bCs/>
          <w:kern w:val="0"/>
        </w:rPr>
      </w:pPr>
    </w:p>
    <w:p w:rsidR="0086440D" w:rsidRDefault="0086440D">
      <w:pPr>
        <w:widowControl/>
        <w:numPr>
          <w:ilvl w:val="0"/>
          <w:numId w:val="1"/>
        </w:numPr>
        <w:autoSpaceDN w:val="0"/>
        <w:ind w:left="0" w:firstLineChars="0" w:firstLine="0"/>
        <w:jc w:val="center"/>
        <w:rPr>
          <w:rFonts w:ascii="方正黑体_GBK" w:eastAsia="方正黑体_GBK"/>
          <w:kern w:val="0"/>
        </w:rPr>
      </w:pPr>
      <w:r>
        <w:rPr>
          <w:rFonts w:ascii="方正黑体_GBK" w:eastAsia="方正黑体_GBK" w:cs="方正黑体_GBK"/>
          <w:kern w:val="0"/>
        </w:rPr>
        <w:t xml:space="preserve">  </w:t>
      </w:r>
      <w:r>
        <w:rPr>
          <w:rFonts w:ascii="方正黑体_GBK" w:eastAsia="方正黑体_GBK" w:cs="方正黑体_GBK" w:hint="eastAsia"/>
          <w:kern w:val="0"/>
        </w:rPr>
        <w:t>总</w:t>
      </w:r>
      <w:r>
        <w:rPr>
          <w:rFonts w:ascii="方正黑体_GBK" w:eastAsia="方正黑体_GBK" w:cs="方正黑体_GBK"/>
          <w:kern w:val="0"/>
        </w:rPr>
        <w:t xml:space="preserve">  </w:t>
      </w:r>
      <w:r>
        <w:rPr>
          <w:rFonts w:ascii="方正黑体_GBK" w:eastAsia="方正黑体_GBK" w:cs="方正黑体_GBK" w:hint="eastAsia"/>
          <w:kern w:val="0"/>
        </w:rPr>
        <w:t>则</w:t>
      </w:r>
    </w:p>
    <w:p w:rsidR="0086440D" w:rsidRDefault="0086440D" w:rsidP="00B714D6">
      <w:pPr>
        <w:widowControl/>
        <w:autoSpaceDN w:val="0"/>
        <w:ind w:firstLine="31680"/>
        <w:jc w:val="center"/>
        <w:rPr>
          <w:rFonts w:ascii="方正黑体_GBK" w:eastAsia="方正黑体_GBK"/>
          <w:kern w:val="0"/>
        </w:rPr>
      </w:pP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第一条</w:t>
      </w:r>
      <w:r>
        <w:rPr>
          <w:kern w:val="0"/>
        </w:rPr>
        <w:t xml:space="preserve">  </w:t>
      </w:r>
      <w:r>
        <w:rPr>
          <w:rFonts w:cs="方正仿宋_GBK" w:hint="eastAsia"/>
          <w:kern w:val="0"/>
        </w:rPr>
        <w:t>为履行国际义务，维护非洲地区的和平与稳定，制止冲突钻石非法交易，根据我国有关法律法规规定和联合国大会第</w:t>
      </w:r>
      <w:r>
        <w:rPr>
          <w:kern w:val="0"/>
        </w:rPr>
        <w:t>55/56</w:t>
      </w:r>
      <w:r>
        <w:rPr>
          <w:rFonts w:cs="方正仿宋_GBK" w:hint="eastAsia"/>
          <w:kern w:val="0"/>
        </w:rPr>
        <w:t>号决议以及金伯利进程国际证书制度的要求，制定本规定。</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第二条</w:t>
      </w:r>
      <w:r>
        <w:rPr>
          <w:kern w:val="0"/>
        </w:rPr>
        <w:t xml:space="preserve">  </w:t>
      </w:r>
      <w:r>
        <w:rPr>
          <w:rFonts w:cs="方正仿宋_GBK" w:hint="eastAsia"/>
          <w:kern w:val="0"/>
        </w:rPr>
        <w:t>本规定所称的毛坯钻石是指未经加工或者经简单切割或者部分抛光，归入《商品名称及编码协调制度》</w:t>
      </w:r>
      <w:r>
        <w:rPr>
          <w:kern w:val="0"/>
        </w:rPr>
        <w:t>7102.10</w:t>
      </w:r>
      <w:r>
        <w:rPr>
          <w:rFonts w:cs="方正仿宋_GBK" w:hint="eastAsia"/>
          <w:kern w:val="0"/>
        </w:rPr>
        <w:t>、</w:t>
      </w:r>
      <w:r>
        <w:rPr>
          <w:kern w:val="0"/>
        </w:rPr>
        <w:t>7102.21</w:t>
      </w:r>
      <w:r>
        <w:rPr>
          <w:rFonts w:cs="方正仿宋_GBK" w:hint="eastAsia"/>
          <w:kern w:val="0"/>
        </w:rPr>
        <w:t>和</w:t>
      </w:r>
      <w:r>
        <w:rPr>
          <w:kern w:val="0"/>
        </w:rPr>
        <w:t>7102.31</w:t>
      </w:r>
      <w:r>
        <w:rPr>
          <w:rFonts w:cs="方正仿宋_GBK" w:hint="eastAsia"/>
          <w:kern w:val="0"/>
        </w:rPr>
        <w:t>的钻石。</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第三条</w:t>
      </w:r>
      <w:r>
        <w:rPr>
          <w:kern w:val="0"/>
        </w:rPr>
        <w:t xml:space="preserve">  </w:t>
      </w:r>
      <w:r>
        <w:rPr>
          <w:rFonts w:cs="方正仿宋_GBK" w:hint="eastAsia"/>
          <w:kern w:val="0"/>
        </w:rPr>
        <w:t>海关总署是我国实施金伯利进程国际证书制度的管理部门。海关总署指定的主管海关负责对进出口毛坯钻石的原产国（地）或者来源国（地）进行核查，并对毛坯钻石进行验证、检验、签证。</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第四条</w:t>
      </w:r>
      <w:r>
        <w:rPr>
          <w:b/>
          <w:bCs/>
          <w:kern w:val="0"/>
        </w:rPr>
        <w:t xml:space="preserve">  </w:t>
      </w:r>
      <w:r>
        <w:rPr>
          <w:rFonts w:cs="方正仿宋_GBK" w:hint="eastAsia"/>
          <w:kern w:val="0"/>
        </w:rPr>
        <w:t>金伯利进程国际证书是具有法律约束力的官方证明文件。</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第五条</w:t>
      </w:r>
      <w:r>
        <w:rPr>
          <w:kern w:val="0"/>
        </w:rPr>
        <w:t xml:space="preserve">  </w:t>
      </w:r>
      <w:r>
        <w:rPr>
          <w:rFonts w:cs="方正仿宋_GBK" w:hint="eastAsia"/>
          <w:kern w:val="0"/>
        </w:rPr>
        <w:t>本规定适用于金伯利进程国际证书制度成员国（以下简称成员国）之间的毛坯钻石进出口贸易。海关只受理成员国之间的毛坯钻石进出口的申报。</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第六条</w:t>
      </w:r>
      <w:r>
        <w:rPr>
          <w:kern w:val="0"/>
        </w:rPr>
        <w:t xml:space="preserve">  </w:t>
      </w:r>
      <w:r>
        <w:rPr>
          <w:rFonts w:cs="方正仿宋_GBK" w:hint="eastAsia"/>
          <w:kern w:val="0"/>
        </w:rPr>
        <w:t>进出口毛坯钻石的受理申报、核查检验，由主管海关办理。</w:t>
      </w:r>
    </w:p>
    <w:p w:rsidR="0086440D" w:rsidRDefault="0086440D" w:rsidP="00B714D6">
      <w:pPr>
        <w:widowControl/>
        <w:autoSpaceDN w:val="0"/>
        <w:ind w:firstLine="31680"/>
        <w:rPr>
          <w:kern w:val="0"/>
        </w:rPr>
      </w:pPr>
    </w:p>
    <w:p w:rsidR="0086440D" w:rsidRDefault="0086440D">
      <w:pPr>
        <w:widowControl/>
        <w:numPr>
          <w:ilvl w:val="0"/>
          <w:numId w:val="1"/>
        </w:numPr>
        <w:autoSpaceDN w:val="0"/>
        <w:ind w:left="0" w:firstLineChars="0" w:firstLine="0"/>
        <w:jc w:val="center"/>
        <w:rPr>
          <w:rFonts w:ascii="方正黑体_GBK" w:eastAsia="方正黑体_GBK"/>
          <w:kern w:val="0"/>
        </w:rPr>
      </w:pPr>
      <w:r>
        <w:rPr>
          <w:rFonts w:ascii="方正黑体_GBK" w:eastAsia="方正黑体_GBK" w:cs="方正黑体_GBK"/>
          <w:kern w:val="0"/>
        </w:rPr>
        <w:t xml:space="preserve">  </w:t>
      </w:r>
      <w:r>
        <w:rPr>
          <w:rFonts w:ascii="方正黑体_GBK" w:eastAsia="方正黑体_GBK" w:cs="方正黑体_GBK" w:hint="eastAsia"/>
          <w:kern w:val="0"/>
        </w:rPr>
        <w:t>进口核查检验</w:t>
      </w:r>
    </w:p>
    <w:p w:rsidR="0086440D" w:rsidRDefault="0086440D" w:rsidP="00B714D6">
      <w:pPr>
        <w:widowControl/>
        <w:autoSpaceDN w:val="0"/>
        <w:ind w:left="643" w:firstLine="31680"/>
        <w:rPr>
          <w:b/>
          <w:bCs/>
          <w:kern w:val="0"/>
        </w:rPr>
      </w:pPr>
    </w:p>
    <w:p w:rsidR="0086440D" w:rsidRDefault="0086440D" w:rsidP="00B714D6">
      <w:pPr>
        <w:widowControl/>
        <w:tabs>
          <w:tab w:val="left" w:pos="0"/>
        </w:tabs>
        <w:autoSpaceDN w:val="0"/>
        <w:ind w:firstLine="31680"/>
        <w:jc w:val="both"/>
        <w:rPr>
          <w:kern w:val="0"/>
        </w:rPr>
      </w:pPr>
      <w:r>
        <w:rPr>
          <w:rFonts w:ascii="方正黑体_GBK" w:eastAsia="方正黑体_GBK" w:cs="方正黑体_GBK" w:hint="eastAsia"/>
          <w:kern w:val="0"/>
        </w:rPr>
        <w:t>第七条</w:t>
      </w:r>
      <w:r>
        <w:rPr>
          <w:kern w:val="0"/>
        </w:rPr>
        <w:t xml:space="preserve">  </w:t>
      </w:r>
      <w:r>
        <w:rPr>
          <w:rFonts w:cs="方正仿宋_GBK" w:hint="eastAsia"/>
          <w:kern w:val="0"/>
        </w:rPr>
        <w:t>毛坯钻石入境前，毛坯钻石的进出口企业或者其代理人以及承运人（以下简称申报人）应当向海关提交《中华人民共和国进口毛坯钻石申报单》、毛坯钻石出口国政府主管机构签发的金伯利进程国际证书正本等有关资料，办理入境申报手续。未提供上述单证的，不予受理申报。</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第八条</w:t>
      </w:r>
      <w:r>
        <w:rPr>
          <w:rFonts w:ascii="方正黑体_GBK" w:eastAsia="方正黑体_GBK" w:cs="方正黑体_GBK"/>
          <w:kern w:val="0"/>
        </w:rPr>
        <w:t xml:space="preserve">  </w:t>
      </w:r>
      <w:r>
        <w:rPr>
          <w:rFonts w:cs="方正仿宋_GBK" w:hint="eastAsia"/>
          <w:kern w:val="0"/>
        </w:rPr>
        <w:t>海关受理申报后，应当严格审查所提交的金伯利进程国际证书，必要时可以进行成员国间核对，并按照金伯利进程国际证书制度的要求，审核申报内容是否与出口国政府主管机构签发的金伯利进程国际证书相符。</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第九条</w:t>
      </w:r>
      <w:r>
        <w:rPr>
          <w:kern w:val="0"/>
        </w:rPr>
        <w:t xml:space="preserve">  </w:t>
      </w:r>
      <w:r>
        <w:rPr>
          <w:rFonts w:cs="方正仿宋_GBK" w:hint="eastAsia"/>
          <w:kern w:val="0"/>
        </w:rPr>
        <w:t>海关应当在指定地点及申报人在场的情况下，核查货物原产地标记、封识及内外包装；检查原产国（地）</w:t>
      </w:r>
      <w:r>
        <w:rPr>
          <w:kern w:val="0"/>
        </w:rPr>
        <w:t>/</w:t>
      </w:r>
      <w:r>
        <w:rPr>
          <w:rFonts w:cs="方正仿宋_GBK" w:hint="eastAsia"/>
          <w:kern w:val="0"/>
        </w:rPr>
        <w:t>来源国（地）、收货人、证书编号等是否与随附的金伯利进程国际证书所列内容一致；对申报金额进行核定；对毛坯钻石的克拉重量（数量）等按照金伯利进程国际证书制度的要求实施检验。</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第十条</w:t>
      </w:r>
      <w:r>
        <w:rPr>
          <w:kern w:val="0"/>
        </w:rPr>
        <w:t xml:space="preserve">  </w:t>
      </w:r>
      <w:r>
        <w:rPr>
          <w:rFonts w:cs="方正仿宋_GBK" w:hint="eastAsia"/>
          <w:kern w:val="0"/>
        </w:rPr>
        <w:t>核查、检验结束后，海关应当签发进口毛坯钻石确认书，发送至货物原产国（地）</w:t>
      </w:r>
      <w:r>
        <w:rPr>
          <w:kern w:val="0"/>
        </w:rPr>
        <w:t>/</w:t>
      </w:r>
      <w:r>
        <w:rPr>
          <w:rFonts w:cs="方正仿宋_GBK" w:hint="eastAsia"/>
          <w:kern w:val="0"/>
        </w:rPr>
        <w:t>来源国（地）政府主管机构，同时以电子邮件方式确认该批钻石已到达目的地。</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第十一条</w:t>
      </w:r>
      <w:r>
        <w:rPr>
          <w:rFonts w:ascii="方正黑体_GBK" w:eastAsia="方正黑体_GBK" w:cs="方正黑体_GBK"/>
          <w:kern w:val="0"/>
        </w:rPr>
        <w:t xml:space="preserve">  </w:t>
      </w:r>
      <w:r>
        <w:rPr>
          <w:rFonts w:cs="方正仿宋_GBK" w:hint="eastAsia"/>
          <w:kern w:val="0"/>
        </w:rPr>
        <w:t>海关应当将《中华人民共和国进口毛坯钻石申报单》、毛坯钻石出口国政府主管机构签发的金伯利进程国际证书正本和进口毛坯钻石确认书副本等有关资料一并归档。档案保存期为</w:t>
      </w:r>
      <w:r>
        <w:rPr>
          <w:kern w:val="0"/>
        </w:rPr>
        <w:t>3</w:t>
      </w:r>
      <w:r>
        <w:rPr>
          <w:rFonts w:cs="方正仿宋_GBK" w:hint="eastAsia"/>
          <w:kern w:val="0"/>
        </w:rPr>
        <w:t>年。</w:t>
      </w:r>
    </w:p>
    <w:p w:rsidR="0086440D" w:rsidRDefault="0086440D" w:rsidP="00B714D6">
      <w:pPr>
        <w:widowControl/>
        <w:autoSpaceDN w:val="0"/>
        <w:ind w:firstLine="31680"/>
        <w:rPr>
          <w:kern w:val="0"/>
        </w:rPr>
      </w:pPr>
    </w:p>
    <w:p w:rsidR="0086440D" w:rsidRDefault="0086440D">
      <w:pPr>
        <w:widowControl/>
        <w:numPr>
          <w:ilvl w:val="0"/>
          <w:numId w:val="1"/>
        </w:numPr>
        <w:autoSpaceDN w:val="0"/>
        <w:ind w:left="0" w:firstLineChars="0" w:firstLine="0"/>
        <w:jc w:val="center"/>
        <w:rPr>
          <w:rFonts w:ascii="方正黑体_GBK" w:eastAsia="方正黑体_GBK"/>
          <w:kern w:val="0"/>
        </w:rPr>
      </w:pPr>
      <w:r>
        <w:rPr>
          <w:rFonts w:ascii="方正黑体_GBK" w:eastAsia="方正黑体_GBK" w:cs="方正黑体_GBK"/>
          <w:kern w:val="0"/>
        </w:rPr>
        <w:t xml:space="preserve">  </w:t>
      </w:r>
      <w:r>
        <w:rPr>
          <w:rFonts w:ascii="方正黑体_GBK" w:eastAsia="方正黑体_GBK" w:cs="方正黑体_GBK" w:hint="eastAsia"/>
          <w:kern w:val="0"/>
        </w:rPr>
        <w:t>出口核查检验</w:t>
      </w:r>
    </w:p>
    <w:p w:rsidR="0086440D" w:rsidRDefault="0086440D" w:rsidP="00B714D6">
      <w:pPr>
        <w:widowControl/>
        <w:autoSpaceDN w:val="0"/>
        <w:ind w:left="643" w:firstLine="31680"/>
        <w:jc w:val="center"/>
        <w:rPr>
          <w:b/>
          <w:bCs/>
          <w:kern w:val="0"/>
        </w:rPr>
      </w:pP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第十二条</w:t>
      </w:r>
      <w:r>
        <w:rPr>
          <w:kern w:val="0"/>
        </w:rPr>
        <w:t xml:space="preserve">  </w:t>
      </w:r>
      <w:r>
        <w:rPr>
          <w:rFonts w:cs="方正仿宋_GBK" w:hint="eastAsia"/>
          <w:kern w:val="0"/>
        </w:rPr>
        <w:t>毛坯钻石出境前，申报人应当向海关提交《中华人民共和国出口毛坯钻石申报单》，声明所申报的出口毛坯钻石为非冲突钻石、目的国为成员国，并保证出口毛坯钻石储存在防损容器中运输，同时提供合同、发票及价值证明文件以及其他证明毛坯钻石合法性的有关资料。</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第十三条</w:t>
      </w:r>
      <w:r>
        <w:rPr>
          <w:rFonts w:ascii="方正黑体_GBK" w:eastAsia="方正黑体_GBK" w:cs="方正黑体_GBK"/>
          <w:kern w:val="0"/>
        </w:rPr>
        <w:t xml:space="preserve">  </w:t>
      </w:r>
      <w:r>
        <w:rPr>
          <w:rFonts w:cs="方正仿宋_GBK" w:hint="eastAsia"/>
          <w:kern w:val="0"/>
        </w:rPr>
        <w:t>海关受理申报后，应当在指定地点及申报人在场的情况下，对毛坯钻石原产地的真实性等进行核实，对毛坯钻石的克拉重量（数量）进行检验，并对申报金额进行核定。在确认申报人所申报的内容正确无误后，对符合金伯利进程国际证书制度要求的毛坯钻石及其包装容器进行封识，加施原产地注册标记，并签发《金伯利进程国际证书》。</w:t>
      </w:r>
    </w:p>
    <w:p w:rsidR="0086440D" w:rsidRDefault="0086440D" w:rsidP="00B714D6">
      <w:pPr>
        <w:widowControl/>
        <w:autoSpaceDN w:val="0"/>
        <w:ind w:firstLine="31680"/>
        <w:jc w:val="both"/>
        <w:rPr>
          <w:kern w:val="0"/>
        </w:rPr>
      </w:pPr>
      <w:r>
        <w:rPr>
          <w:rFonts w:cs="方正仿宋_GBK" w:hint="eastAsia"/>
          <w:kern w:val="0"/>
        </w:rPr>
        <w:t>海关签发《金伯利进程国际证书》后，应当以电子邮件方式将相关信息发送至进口国。</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第十四条</w:t>
      </w:r>
      <w:r>
        <w:rPr>
          <w:kern w:val="0"/>
        </w:rPr>
        <w:t xml:space="preserve">  </w:t>
      </w:r>
      <w:r>
        <w:rPr>
          <w:rFonts w:cs="方正仿宋_GBK" w:hint="eastAsia"/>
          <w:kern w:val="0"/>
        </w:rPr>
        <w:t>海关在收到进口国政府主管机构发出的进口毛坯钻石确认书后，应当将确认书、《中华人民共和国出口毛坯钻石申报单》《金伯利进程国际证书》副本以及合同、发票等有关资料一并归档。档案保存期为</w:t>
      </w:r>
      <w:r>
        <w:rPr>
          <w:kern w:val="0"/>
        </w:rPr>
        <w:t>3</w:t>
      </w:r>
      <w:r>
        <w:rPr>
          <w:rFonts w:cs="方正仿宋_GBK" w:hint="eastAsia"/>
          <w:kern w:val="0"/>
        </w:rPr>
        <w:t>年。</w:t>
      </w:r>
    </w:p>
    <w:p w:rsidR="0086440D" w:rsidRDefault="0086440D" w:rsidP="00B714D6">
      <w:pPr>
        <w:widowControl/>
        <w:autoSpaceDN w:val="0"/>
        <w:ind w:firstLine="31680"/>
        <w:rPr>
          <w:kern w:val="0"/>
        </w:rPr>
      </w:pPr>
    </w:p>
    <w:p w:rsidR="0086440D" w:rsidRDefault="0086440D">
      <w:pPr>
        <w:widowControl/>
        <w:numPr>
          <w:ilvl w:val="0"/>
          <w:numId w:val="1"/>
        </w:numPr>
        <w:autoSpaceDN w:val="0"/>
        <w:ind w:left="0" w:firstLineChars="0" w:firstLine="0"/>
        <w:jc w:val="center"/>
        <w:rPr>
          <w:rFonts w:ascii="方正黑体_GBK" w:eastAsia="方正黑体_GBK"/>
          <w:kern w:val="0"/>
        </w:rPr>
      </w:pPr>
      <w:r>
        <w:rPr>
          <w:rFonts w:ascii="方正黑体_GBK" w:eastAsia="方正黑体_GBK" w:cs="方正黑体_GBK"/>
          <w:kern w:val="0"/>
        </w:rPr>
        <w:t xml:space="preserve">  </w:t>
      </w:r>
      <w:r>
        <w:rPr>
          <w:rFonts w:ascii="方正黑体_GBK" w:eastAsia="方正黑体_GBK" w:cs="方正黑体_GBK" w:hint="eastAsia"/>
          <w:kern w:val="0"/>
        </w:rPr>
        <w:t>统计管理</w:t>
      </w:r>
    </w:p>
    <w:p w:rsidR="0086440D" w:rsidRDefault="0086440D" w:rsidP="00B714D6">
      <w:pPr>
        <w:widowControl/>
        <w:autoSpaceDN w:val="0"/>
        <w:ind w:left="643" w:firstLine="31680"/>
        <w:jc w:val="center"/>
        <w:rPr>
          <w:b/>
          <w:bCs/>
          <w:kern w:val="0"/>
        </w:rPr>
      </w:pP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第十五条</w:t>
      </w:r>
      <w:r>
        <w:rPr>
          <w:kern w:val="0"/>
        </w:rPr>
        <w:t xml:space="preserve">  </w:t>
      </w:r>
      <w:r>
        <w:rPr>
          <w:rFonts w:cs="方正仿宋_GBK" w:hint="eastAsia"/>
          <w:kern w:val="0"/>
        </w:rPr>
        <w:t>海关应当按照金伯利进程国际证书制度要求，对毛坯钻石进出口贸易相关数据进行统计管理，建立统计数据库。统计数据包括：</w:t>
      </w:r>
      <w:r>
        <w:rPr>
          <w:kern w:val="0"/>
        </w:rPr>
        <w:t>HS</w:t>
      </w:r>
      <w:r>
        <w:rPr>
          <w:rFonts w:cs="方正仿宋_GBK" w:hint="eastAsia"/>
          <w:kern w:val="0"/>
        </w:rPr>
        <w:t>编码、原产国（地）和来源国（地）、贸易国别、进出口企业、克拉重量（数量）、金额、签证份数、证书编号、确认证书份数等。统计信息保存期为</w:t>
      </w:r>
      <w:r>
        <w:rPr>
          <w:kern w:val="0"/>
        </w:rPr>
        <w:t>3</w:t>
      </w:r>
      <w:r>
        <w:rPr>
          <w:rFonts w:cs="方正仿宋_GBK" w:hint="eastAsia"/>
          <w:kern w:val="0"/>
        </w:rPr>
        <w:t>年。</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第十六条</w:t>
      </w:r>
      <w:r>
        <w:rPr>
          <w:kern w:val="0"/>
        </w:rPr>
        <w:t xml:space="preserve">  </w:t>
      </w:r>
      <w:r>
        <w:rPr>
          <w:rFonts w:cs="方正仿宋_GBK" w:hint="eastAsia"/>
          <w:kern w:val="0"/>
        </w:rPr>
        <w:t>海关总署按照金伯利进程国际证书制度的要求及时交换数据，统一对外发布有关信息。</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第十七条</w:t>
      </w:r>
      <w:r>
        <w:rPr>
          <w:rFonts w:ascii="方正黑体_GBK" w:eastAsia="方正黑体_GBK" w:cs="方正黑体_GBK"/>
          <w:kern w:val="0"/>
        </w:rPr>
        <w:t xml:space="preserve">  </w:t>
      </w:r>
      <w:r>
        <w:rPr>
          <w:rFonts w:cs="方正仿宋_GBK" w:hint="eastAsia"/>
          <w:kern w:val="0"/>
        </w:rPr>
        <w:t>申报人要保存完整的贸易证单，同时对有关贸易数据进行统计，统计内容主要包括：客户名称、进出口毛坯钻石的克拉重量（数量）和金额等。贸易证单和统计数据保存期为</w:t>
      </w:r>
      <w:r>
        <w:rPr>
          <w:kern w:val="0"/>
        </w:rPr>
        <w:t>3</w:t>
      </w:r>
      <w:r>
        <w:rPr>
          <w:rFonts w:cs="方正仿宋_GBK" w:hint="eastAsia"/>
          <w:kern w:val="0"/>
        </w:rPr>
        <w:t>年。</w:t>
      </w:r>
    </w:p>
    <w:p w:rsidR="0086440D" w:rsidRDefault="0086440D" w:rsidP="00B714D6">
      <w:pPr>
        <w:widowControl/>
        <w:autoSpaceDN w:val="0"/>
        <w:ind w:firstLine="31680"/>
        <w:rPr>
          <w:b/>
          <w:bCs/>
          <w:kern w:val="0"/>
        </w:rPr>
      </w:pPr>
    </w:p>
    <w:p w:rsidR="0086440D" w:rsidRDefault="0086440D">
      <w:pPr>
        <w:widowControl/>
        <w:numPr>
          <w:ilvl w:val="0"/>
          <w:numId w:val="1"/>
        </w:numPr>
        <w:autoSpaceDN w:val="0"/>
        <w:ind w:left="0" w:firstLineChars="0" w:firstLine="0"/>
        <w:jc w:val="center"/>
        <w:rPr>
          <w:rFonts w:ascii="方正黑体_GBK" w:eastAsia="方正黑体_GBK"/>
          <w:kern w:val="0"/>
        </w:rPr>
      </w:pPr>
      <w:r>
        <w:rPr>
          <w:rFonts w:ascii="方正黑体_GBK" w:eastAsia="方正黑体_GBK" w:cs="方正黑体_GBK"/>
          <w:kern w:val="0"/>
        </w:rPr>
        <w:t xml:space="preserve">  </w:t>
      </w:r>
      <w:r>
        <w:rPr>
          <w:rFonts w:ascii="方正黑体_GBK" w:eastAsia="方正黑体_GBK" w:cs="方正黑体_GBK" w:hint="eastAsia"/>
          <w:kern w:val="0"/>
        </w:rPr>
        <w:t>附</w:t>
      </w:r>
      <w:r>
        <w:rPr>
          <w:rFonts w:ascii="方正黑体_GBK" w:eastAsia="方正黑体_GBK" w:cs="方正黑体_GBK"/>
          <w:kern w:val="0"/>
        </w:rPr>
        <w:t xml:space="preserve">  </w:t>
      </w:r>
      <w:r>
        <w:rPr>
          <w:rFonts w:ascii="方正黑体_GBK" w:eastAsia="方正黑体_GBK" w:cs="方正黑体_GBK" w:hint="eastAsia"/>
          <w:kern w:val="0"/>
        </w:rPr>
        <w:t>则</w:t>
      </w:r>
    </w:p>
    <w:p w:rsidR="0086440D" w:rsidRDefault="0086440D" w:rsidP="00B714D6">
      <w:pPr>
        <w:widowControl/>
        <w:autoSpaceDN w:val="0"/>
        <w:ind w:left="643" w:firstLine="31680"/>
        <w:jc w:val="center"/>
        <w:rPr>
          <w:b/>
          <w:bCs/>
          <w:kern w:val="0"/>
        </w:rPr>
      </w:pP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第十八条</w:t>
      </w:r>
      <w:r>
        <w:rPr>
          <w:rFonts w:ascii="方正黑体_GBK" w:eastAsia="方正黑体_GBK" w:cs="方正黑体_GBK"/>
          <w:kern w:val="0"/>
        </w:rPr>
        <w:t xml:space="preserve">  </w:t>
      </w:r>
      <w:r>
        <w:rPr>
          <w:rFonts w:cs="方正仿宋_GBK" w:hint="eastAsia"/>
          <w:kern w:val="0"/>
        </w:rPr>
        <w:t>对过境毛坯钻石，海关在申报人确保毛坯钻石密封包装容器未开封和未受损情况下，可以不予核查金伯利进程国际证书。</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第十九条</w:t>
      </w:r>
      <w:r>
        <w:rPr>
          <w:rFonts w:ascii="方正黑体_GBK" w:eastAsia="方正黑体_GBK" w:cs="方正黑体_GBK"/>
          <w:kern w:val="0"/>
        </w:rPr>
        <w:t xml:space="preserve">  </w:t>
      </w:r>
      <w:r>
        <w:rPr>
          <w:rFonts w:cs="方正仿宋_GBK" w:hint="eastAsia"/>
          <w:kern w:val="0"/>
        </w:rPr>
        <w:t>为方便贸易，便于监管，有关钻石交易机构应当配合海关工作，并提供必要的条件。</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第二十条</w:t>
      </w:r>
      <w:r>
        <w:rPr>
          <w:rFonts w:ascii="方正黑体_GBK" w:eastAsia="方正黑体_GBK" w:cs="方正黑体_GBK"/>
          <w:kern w:val="0"/>
        </w:rPr>
        <w:t xml:space="preserve">  </w:t>
      </w:r>
      <w:r>
        <w:rPr>
          <w:rFonts w:cs="方正仿宋_GBK" w:hint="eastAsia"/>
          <w:kern w:val="0"/>
        </w:rPr>
        <w:t>对未如实申报毛坯钻石的原产国（地）和来源国（地）的，伪造、涂改金伯利进程国际证书等有关证单的，违反金伯利进程国际证书制度有关规定、从事冲突钻石进出口的，按照有关法律法规规定予以处罚。</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第二十一条</w:t>
      </w:r>
      <w:r>
        <w:rPr>
          <w:rFonts w:ascii="方正黑体_GBK" w:eastAsia="方正黑体_GBK" w:cs="方正黑体_GBK"/>
          <w:kern w:val="0"/>
        </w:rPr>
        <w:t xml:space="preserve">  </w:t>
      </w:r>
      <w:r>
        <w:rPr>
          <w:rFonts w:cs="方正仿宋_GBK" w:hint="eastAsia"/>
          <w:kern w:val="0"/>
        </w:rPr>
        <w:t>本办法所规定的文书由海关总署另行制定并且发布。</w:t>
      </w:r>
    </w:p>
    <w:p w:rsidR="0086440D" w:rsidRDefault="0086440D" w:rsidP="00B714D6">
      <w:pPr>
        <w:widowControl/>
        <w:autoSpaceDN w:val="0"/>
        <w:ind w:firstLine="31680"/>
        <w:jc w:val="both"/>
        <w:rPr>
          <w:kern w:val="0"/>
        </w:rPr>
      </w:pPr>
      <w:r>
        <w:rPr>
          <w:rFonts w:ascii="方正黑体_GBK" w:eastAsia="方正黑体_GBK" w:cs="方正黑体_GBK" w:hint="eastAsia"/>
          <w:kern w:val="0"/>
        </w:rPr>
        <w:t>第二十二条</w:t>
      </w:r>
      <w:r>
        <w:rPr>
          <w:rFonts w:ascii="方正黑体_GBK" w:eastAsia="方正黑体_GBK" w:cs="方正黑体_GBK"/>
          <w:kern w:val="0"/>
        </w:rPr>
        <w:t xml:space="preserve">  </w:t>
      </w:r>
      <w:r>
        <w:rPr>
          <w:rFonts w:cs="方正仿宋_GBK" w:hint="eastAsia"/>
          <w:kern w:val="0"/>
        </w:rPr>
        <w:t>本规定由海关总署负责解释。</w:t>
      </w:r>
    </w:p>
    <w:p w:rsidR="0086440D" w:rsidRDefault="0086440D" w:rsidP="00B714D6">
      <w:pPr>
        <w:ind w:firstLine="31680"/>
        <w:jc w:val="both"/>
      </w:pPr>
      <w:r>
        <w:rPr>
          <w:rFonts w:ascii="方正黑体_GBK" w:eastAsia="方正黑体_GBK" w:cs="方正黑体_GBK" w:hint="eastAsia"/>
          <w:kern w:val="0"/>
        </w:rPr>
        <w:t>第二十三条</w:t>
      </w:r>
      <w:r>
        <w:rPr>
          <w:rFonts w:ascii="方正黑体_GBK" w:eastAsia="方正黑体_GBK" w:cs="方正黑体_GBK"/>
          <w:kern w:val="0"/>
        </w:rPr>
        <w:t xml:space="preserve">  </w:t>
      </w:r>
      <w:r>
        <w:rPr>
          <w:rFonts w:cs="方正仿宋_GBK" w:hint="eastAsia"/>
          <w:kern w:val="0"/>
        </w:rPr>
        <w:t>本规定自</w:t>
      </w:r>
      <w:r>
        <w:rPr>
          <w:kern w:val="0"/>
        </w:rPr>
        <w:t>2003</w:t>
      </w:r>
      <w:r>
        <w:rPr>
          <w:rFonts w:cs="方正仿宋_GBK" w:hint="eastAsia"/>
          <w:kern w:val="0"/>
        </w:rPr>
        <w:t>年</w:t>
      </w:r>
      <w:r>
        <w:rPr>
          <w:kern w:val="0"/>
        </w:rPr>
        <w:t>1</w:t>
      </w:r>
      <w:r>
        <w:rPr>
          <w:rFonts w:cs="方正仿宋_GBK" w:hint="eastAsia"/>
          <w:kern w:val="0"/>
        </w:rPr>
        <w:t>月</w:t>
      </w:r>
      <w:r>
        <w:rPr>
          <w:kern w:val="0"/>
        </w:rPr>
        <w:t>1</w:t>
      </w:r>
      <w:r>
        <w:rPr>
          <w:rFonts w:cs="方正仿宋_GBK" w:hint="eastAsia"/>
          <w:kern w:val="0"/>
        </w:rPr>
        <w:t>日起施行。</w:t>
      </w:r>
    </w:p>
    <w:sectPr w:rsidR="0086440D" w:rsidSect="0086440D">
      <w:headerReference w:type="default" r:id="rId7"/>
      <w:footerReference w:type="default" r:id="rId8"/>
      <w:pgSz w:w="11906" w:h="16838"/>
      <w:pgMar w:top="1440" w:right="1800" w:bottom="1440" w:left="1800" w:header="851" w:footer="992" w:gutter="0"/>
      <w:cols w:space="720"/>
      <w:docGrid w:type="lines" w:linePitch="435"/>
      <w:sectPrChange w:id="2" w:author="Adminstrator" w:date="2018-05-30T17:17:00Z">
        <w:sectPr w:rsidR="0086440D" w:rsidSect="0086440D">
          <w:pgSz w:w="12240" w:h="15840"/>
          <w:cols w:space="425"/>
          <w:docGrid w:linePitch="312"/>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0D" w:rsidRDefault="0086440D" w:rsidP="00B714D6">
      <w:pPr>
        <w:spacing w:line="240" w:lineRule="auto"/>
        <w:ind w:firstLine="31680"/>
      </w:pPr>
      <w:r>
        <w:separator/>
      </w:r>
    </w:p>
  </w:endnote>
  <w:endnote w:type="continuationSeparator" w:id="1">
    <w:p w:rsidR="0086440D" w:rsidRDefault="0086440D" w:rsidP="00B714D6">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0D" w:rsidRDefault="0086440D">
    <w:pPr>
      <w:pStyle w:val="Footer"/>
      <w:ind w:firstLineChars="0" w:firstLine="0"/>
      <w:jc w:val="center"/>
    </w:pPr>
    <w:fldSimple w:instr=" PAGE   \* MERGEFORMAT ">
      <w:r w:rsidRPr="00B714D6">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0D" w:rsidRDefault="0086440D" w:rsidP="00B714D6">
      <w:pPr>
        <w:spacing w:line="240" w:lineRule="auto"/>
        <w:ind w:firstLine="31680"/>
      </w:pPr>
      <w:r>
        <w:separator/>
      </w:r>
    </w:p>
  </w:footnote>
  <w:footnote w:type="continuationSeparator" w:id="1">
    <w:p w:rsidR="0086440D" w:rsidRDefault="0086440D" w:rsidP="00B714D6">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0D" w:rsidRDefault="0086440D" w:rsidP="0086440D">
    <w:pPr>
      <w:pStyle w:val="Header"/>
      <w:pBdr>
        <w:bottom w:val="none" w:sz="0" w:space="0" w:color="auto"/>
      </w:pBdr>
      <w:ind w:firstLine="31680"/>
      <w:pPrChange w:id="1" w:author="Adminstrator" w:date="2018-05-30T17:17:00Z">
        <w:pPr>
          <w:pStyle w:val="Header"/>
          <w:ind w:firstLine="31680"/>
        </w:pPr>
      </w:pPrChang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26D5"/>
    <w:multiLevelType w:val="hybridMultilevel"/>
    <w:tmpl w:val="FA3A1502"/>
    <w:lvl w:ilvl="0" w:tplc="9C84D9C6">
      <w:start w:val="1"/>
      <w:numFmt w:val="japaneseCounting"/>
      <w:lvlRestart w:val="0"/>
      <w:lvlText w:val="第%1章"/>
      <w:lvlJc w:val="left"/>
      <w:pPr>
        <w:tabs>
          <w:tab w:val="num" w:pos="0"/>
        </w:tabs>
        <w:ind w:left="3965" w:hanging="420"/>
      </w:pPr>
      <w:rPr>
        <w:rFonts w:ascii="方正黑体_GBK" w:eastAsia="方正黑体_GBK" w:hAnsi="方正黑体_GBK" w:hint="eastAsia"/>
        <w:b w:val="0"/>
        <w:bCs w:val="0"/>
      </w:rPr>
    </w:lvl>
    <w:lvl w:ilvl="1" w:tplc="FFC02300">
      <w:start w:val="1"/>
      <w:numFmt w:val="lowerLetter"/>
      <w:lvlText w:val="%2)"/>
      <w:lvlJc w:val="left"/>
      <w:pPr>
        <w:tabs>
          <w:tab w:val="num" w:pos="0"/>
        </w:tabs>
        <w:ind w:left="1480" w:hanging="420"/>
      </w:pPr>
    </w:lvl>
    <w:lvl w:ilvl="2" w:tplc="061CC384">
      <w:start w:val="1"/>
      <w:numFmt w:val="lowerRoman"/>
      <w:lvlText w:val="%3."/>
      <w:lvlJc w:val="right"/>
      <w:pPr>
        <w:tabs>
          <w:tab w:val="num" w:pos="0"/>
        </w:tabs>
        <w:ind w:left="1900" w:hanging="420"/>
      </w:pPr>
    </w:lvl>
    <w:lvl w:ilvl="3" w:tplc="1CB6D914">
      <w:start w:val="1"/>
      <w:numFmt w:val="decimal"/>
      <w:lvlText w:val="%4."/>
      <w:lvlJc w:val="left"/>
      <w:pPr>
        <w:tabs>
          <w:tab w:val="num" w:pos="0"/>
        </w:tabs>
        <w:ind w:left="2320" w:hanging="420"/>
      </w:pPr>
    </w:lvl>
    <w:lvl w:ilvl="4" w:tplc="927E8F42">
      <w:start w:val="1"/>
      <w:numFmt w:val="lowerLetter"/>
      <w:lvlText w:val="%5)"/>
      <w:lvlJc w:val="left"/>
      <w:pPr>
        <w:tabs>
          <w:tab w:val="num" w:pos="0"/>
        </w:tabs>
        <w:ind w:left="2740" w:hanging="420"/>
      </w:pPr>
    </w:lvl>
    <w:lvl w:ilvl="5" w:tplc="6FA45514">
      <w:start w:val="1"/>
      <w:numFmt w:val="lowerRoman"/>
      <w:lvlText w:val="%6."/>
      <w:lvlJc w:val="right"/>
      <w:pPr>
        <w:tabs>
          <w:tab w:val="num" w:pos="0"/>
        </w:tabs>
        <w:ind w:left="3160" w:hanging="420"/>
      </w:pPr>
    </w:lvl>
    <w:lvl w:ilvl="6" w:tplc="54ACCD60">
      <w:start w:val="1"/>
      <w:numFmt w:val="decimal"/>
      <w:lvlText w:val="%7."/>
      <w:lvlJc w:val="left"/>
      <w:pPr>
        <w:tabs>
          <w:tab w:val="num" w:pos="0"/>
        </w:tabs>
        <w:ind w:left="3580" w:hanging="420"/>
      </w:pPr>
    </w:lvl>
    <w:lvl w:ilvl="7" w:tplc="810AD098">
      <w:start w:val="1"/>
      <w:numFmt w:val="lowerLetter"/>
      <w:lvlText w:val="%8)"/>
      <w:lvlJc w:val="left"/>
      <w:pPr>
        <w:tabs>
          <w:tab w:val="num" w:pos="0"/>
        </w:tabs>
        <w:ind w:left="4000" w:hanging="420"/>
      </w:pPr>
    </w:lvl>
    <w:lvl w:ilvl="8" w:tplc="07D26D44">
      <w:start w:val="1"/>
      <w:numFmt w:val="lowerRoman"/>
      <w:lvlText w:val="%9."/>
      <w:lvlJc w:val="right"/>
      <w:pPr>
        <w:tabs>
          <w:tab w:val="num" w:pos="0"/>
        </w:tabs>
        <w:ind w:left="4420" w:hanging="420"/>
      </w:pPr>
    </w:lvl>
  </w:abstractNum>
  <w:abstractNum w:abstractNumId="1">
    <w:nsid w:val="3077E930"/>
    <w:multiLevelType w:val="hybridMultilevel"/>
    <w:tmpl w:val="ACF83B0C"/>
    <w:lvl w:ilvl="0" w:tplc="369A2336">
      <w:start w:val="1"/>
      <w:numFmt w:val="decimal"/>
      <w:lvlRestart w:val="0"/>
      <w:pStyle w:val="Heading1"/>
      <w:lvlText w:val="%1."/>
      <w:lvlJc w:val="left"/>
      <w:pPr>
        <w:tabs>
          <w:tab w:val="num" w:pos="0"/>
        </w:tabs>
        <w:ind w:left="420" w:hanging="420"/>
      </w:pPr>
    </w:lvl>
    <w:lvl w:ilvl="1" w:tplc="403A789C">
      <w:start w:val="1"/>
      <w:numFmt w:val="lowerLetter"/>
      <w:lvlText w:val="%2)"/>
      <w:lvlJc w:val="left"/>
      <w:pPr>
        <w:tabs>
          <w:tab w:val="num" w:pos="0"/>
        </w:tabs>
        <w:ind w:left="840" w:hanging="420"/>
      </w:pPr>
    </w:lvl>
    <w:lvl w:ilvl="2" w:tplc="8EA020DC">
      <w:start w:val="1"/>
      <w:numFmt w:val="lowerRoman"/>
      <w:lvlText w:val="%3."/>
      <w:lvlJc w:val="right"/>
      <w:pPr>
        <w:tabs>
          <w:tab w:val="num" w:pos="0"/>
        </w:tabs>
        <w:ind w:left="1260" w:hanging="420"/>
      </w:pPr>
    </w:lvl>
    <w:lvl w:ilvl="3" w:tplc="F17E2E72">
      <w:start w:val="1"/>
      <w:numFmt w:val="decimal"/>
      <w:lvlText w:val="%4."/>
      <w:lvlJc w:val="left"/>
      <w:pPr>
        <w:tabs>
          <w:tab w:val="num" w:pos="0"/>
        </w:tabs>
        <w:ind w:left="1680" w:hanging="420"/>
      </w:pPr>
    </w:lvl>
    <w:lvl w:ilvl="4" w:tplc="1E3C6022">
      <w:start w:val="1"/>
      <w:numFmt w:val="lowerLetter"/>
      <w:lvlText w:val="%5)"/>
      <w:lvlJc w:val="left"/>
      <w:pPr>
        <w:tabs>
          <w:tab w:val="num" w:pos="0"/>
        </w:tabs>
        <w:ind w:left="2100" w:hanging="420"/>
      </w:pPr>
    </w:lvl>
    <w:lvl w:ilvl="5" w:tplc="69D6A2DA">
      <w:start w:val="1"/>
      <w:numFmt w:val="lowerRoman"/>
      <w:lvlText w:val="%6."/>
      <w:lvlJc w:val="right"/>
      <w:pPr>
        <w:tabs>
          <w:tab w:val="num" w:pos="0"/>
        </w:tabs>
        <w:ind w:left="2520" w:hanging="420"/>
      </w:pPr>
    </w:lvl>
    <w:lvl w:ilvl="6" w:tplc="2370CFD4">
      <w:start w:val="1"/>
      <w:numFmt w:val="decimal"/>
      <w:lvlText w:val="%7."/>
      <w:lvlJc w:val="left"/>
      <w:pPr>
        <w:tabs>
          <w:tab w:val="num" w:pos="0"/>
        </w:tabs>
        <w:ind w:left="2940" w:hanging="420"/>
      </w:pPr>
    </w:lvl>
    <w:lvl w:ilvl="7" w:tplc="A1EA086E">
      <w:start w:val="1"/>
      <w:numFmt w:val="lowerLetter"/>
      <w:lvlText w:val="%8)"/>
      <w:lvlJc w:val="left"/>
      <w:pPr>
        <w:tabs>
          <w:tab w:val="num" w:pos="0"/>
        </w:tabs>
        <w:ind w:left="3360" w:hanging="420"/>
      </w:pPr>
    </w:lvl>
    <w:lvl w:ilvl="8" w:tplc="A386CA5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0"/>
  <w:doNotHyphenateCap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194"/>
    <w:rsid w:val="000823DF"/>
    <w:rsid w:val="0081677B"/>
    <w:rsid w:val="0086440D"/>
    <w:rsid w:val="00B714D6"/>
    <w:rsid w:val="00E811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94"/>
    <w:pPr>
      <w:widowControl w:val="0"/>
      <w:spacing w:line="560" w:lineRule="exact"/>
      <w:ind w:firstLineChars="200" w:firstLine="200"/>
    </w:pPr>
    <w:rPr>
      <w:rFonts w:eastAsia="方正仿宋_GBK"/>
      <w:sz w:val="32"/>
      <w:szCs w:val="32"/>
    </w:rPr>
  </w:style>
  <w:style w:type="paragraph" w:styleId="Heading1">
    <w:name w:val="heading 1"/>
    <w:basedOn w:val="Normal"/>
    <w:next w:val="Normal"/>
    <w:link w:val="Heading1Char"/>
    <w:autoRedefine/>
    <w:uiPriority w:val="99"/>
    <w:qFormat/>
    <w:rsid w:val="00E81194"/>
    <w:pPr>
      <w:keepNext/>
      <w:keepLines/>
      <w:numPr>
        <w:numId w:val="2"/>
      </w:numPr>
      <w:ind w:left="0" w:firstLineChars="0" w:firstLine="0"/>
      <w:outlineLvl w:val="0"/>
    </w:pPr>
    <w:rPr>
      <w:rFonts w:eastAsia="方正黑体_GBK"/>
      <w:kern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FEB"/>
    <w:rPr>
      <w:rFonts w:eastAsia="方正仿宋_GBK"/>
      <w:b/>
      <w:bCs/>
      <w:kern w:val="44"/>
      <w:sz w:val="44"/>
      <w:szCs w:val="44"/>
    </w:rPr>
  </w:style>
  <w:style w:type="paragraph" w:styleId="Header">
    <w:name w:val="header"/>
    <w:basedOn w:val="Normal"/>
    <w:link w:val="HeaderChar"/>
    <w:uiPriority w:val="99"/>
    <w:rsid w:val="00E8119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rsid w:val="000B3FEB"/>
    <w:rPr>
      <w:rFonts w:eastAsia="方正仿宋_GBK"/>
      <w:sz w:val="18"/>
      <w:szCs w:val="18"/>
    </w:rPr>
  </w:style>
  <w:style w:type="paragraph" w:styleId="Footer">
    <w:name w:val="footer"/>
    <w:basedOn w:val="Normal"/>
    <w:link w:val="FooterChar"/>
    <w:uiPriority w:val="99"/>
    <w:rsid w:val="00E81194"/>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semiHidden/>
    <w:rsid w:val="000B3FEB"/>
    <w:rPr>
      <w:rFonts w:eastAsia="方正仿宋_GBK"/>
      <w:sz w:val="18"/>
      <w:szCs w:val="18"/>
    </w:rPr>
  </w:style>
  <w:style w:type="paragraph" w:styleId="BalloonText">
    <w:name w:val="Balloon Text"/>
    <w:basedOn w:val="Normal"/>
    <w:link w:val="BalloonTextChar"/>
    <w:uiPriority w:val="99"/>
    <w:semiHidden/>
    <w:rsid w:val="00B714D6"/>
    <w:rPr>
      <w:sz w:val="18"/>
      <w:szCs w:val="18"/>
    </w:rPr>
  </w:style>
  <w:style w:type="character" w:customStyle="1" w:styleId="BalloonTextChar">
    <w:name w:val="Balloon Text Char"/>
    <w:basedOn w:val="DefaultParagraphFont"/>
    <w:link w:val="BalloonText"/>
    <w:uiPriority w:val="99"/>
    <w:semiHidden/>
    <w:rsid w:val="000B3FEB"/>
    <w:rPr>
      <w:rFonts w:eastAsia="方正仿宋_GBK"/>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293</Words>
  <Characters>1671</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附件52</dc:title>
  <dc:subject/>
  <dc:creator>PC</dc:creator>
  <cp:keywords/>
  <dc:description/>
  <cp:lastModifiedBy>Adminstrator</cp:lastModifiedBy>
  <cp:revision>2</cp:revision>
  <dcterms:created xsi:type="dcterms:W3CDTF">2018-05-30T09:17:00Z</dcterms:created>
  <dcterms:modified xsi:type="dcterms:W3CDTF">2018-05-30T09:17:00Z</dcterms:modified>
</cp:coreProperties>
</file>