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default" w:ascii="黑体" w:hAnsi="黑体" w:eastAsia="黑体" w:cs="仿宋"/>
          <w:sz w:val="40"/>
          <w:szCs w:val="40"/>
        </w:rPr>
      </w:pPr>
      <w:r>
        <w:rPr>
          <w:rFonts w:hint="eastAsia" w:ascii="黑体" w:hAnsi="黑体" w:eastAsia="黑体" w:cs="仿宋"/>
          <w:sz w:val="40"/>
          <w:szCs w:val="40"/>
        </w:rPr>
        <w:t>征求意见稿</w:t>
      </w:r>
      <w:r>
        <w:rPr>
          <w:rFonts w:hint="default" w:ascii="黑体" w:hAnsi="黑体" w:eastAsia="黑体" w:cs="仿宋"/>
          <w:sz w:val="40"/>
          <w:szCs w:val="40"/>
        </w:rPr>
        <w:t>中文简介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Hlk71556986"/>
      <w:r>
        <w:rPr>
          <w:rFonts w:hint="eastAsia" w:ascii="仿宋_GB2312" w:eastAsia="仿宋_GB2312"/>
          <w:sz w:val="32"/>
          <w:szCs w:val="32"/>
        </w:rPr>
        <w:t>2021年7</w:t>
      </w:r>
      <w:r>
        <w:rPr>
          <w:rFonts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</w:rPr>
        <w:t>8</w:t>
      </w:r>
      <w:r>
        <w:rPr>
          <w:rFonts w:ascii="仿宋_GB2312" w:eastAsia="仿宋_GB2312"/>
          <w:sz w:val="32"/>
          <w:szCs w:val="32"/>
        </w:rPr>
        <w:t>日，国际会计准则理事会（IASB，以下简称理事会）发布了《</w:t>
      </w:r>
      <w:r>
        <w:rPr>
          <w:rFonts w:hint="eastAsia" w:ascii="仿宋_GB2312" w:eastAsia="仿宋_GB2312"/>
          <w:sz w:val="32"/>
          <w:szCs w:val="32"/>
        </w:rPr>
        <w:t>首次执行国际财务报告准则第</w:t>
      </w:r>
      <w:r>
        <w:rPr>
          <w:rFonts w:ascii="仿宋_GB2312" w:eastAsia="仿宋_GB2312"/>
          <w:sz w:val="32"/>
          <w:szCs w:val="32"/>
        </w:rPr>
        <w:t>17号与国际财务报告准则第9号——</w:t>
      </w:r>
      <w:r>
        <w:rPr>
          <w:rFonts w:hint="eastAsia" w:ascii="仿宋_GB2312" w:eastAsia="仿宋_GB2312"/>
          <w:sz w:val="32"/>
          <w:szCs w:val="32"/>
          <w:highlight w:val="none"/>
        </w:rPr>
        <w:t>比较</w:t>
      </w:r>
      <w:r>
        <w:rPr>
          <w:rFonts w:ascii="仿宋_GB2312" w:eastAsia="仿宋_GB2312"/>
          <w:sz w:val="32"/>
          <w:szCs w:val="32"/>
          <w:highlight w:val="none"/>
        </w:rPr>
        <w:t xml:space="preserve">信息 </w:t>
      </w:r>
      <w:r>
        <w:rPr>
          <w:rFonts w:ascii="仿宋_GB2312" w:eastAsia="仿宋_GB2312"/>
          <w:sz w:val="32"/>
          <w:szCs w:val="32"/>
        </w:rPr>
        <w:t>(征求意见稿）》（以下简称征求意见稿）。征求意见稿拟</w:t>
      </w:r>
      <w:r>
        <w:rPr>
          <w:rFonts w:hint="default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《</w:t>
      </w:r>
      <w:bookmarkStart w:id="1" w:name="OLE_LINK3"/>
      <w:r>
        <w:rPr>
          <w:rFonts w:hint="eastAsia" w:ascii="仿宋_GB2312" w:eastAsia="仿宋_GB2312"/>
          <w:sz w:val="32"/>
          <w:szCs w:val="32"/>
        </w:rPr>
        <w:t>国际财务报告准则第</w:t>
      </w:r>
      <w:r>
        <w:rPr>
          <w:rFonts w:ascii="仿宋_GB2312" w:eastAsia="仿宋_GB2312"/>
          <w:sz w:val="32"/>
          <w:szCs w:val="32"/>
        </w:rPr>
        <w:t>17号</w:t>
      </w:r>
      <w:bookmarkEnd w:id="1"/>
      <w:r>
        <w:rPr>
          <w:rFonts w:ascii="仿宋_GB2312" w:eastAsia="仿宋_GB2312"/>
          <w:sz w:val="32"/>
          <w:szCs w:val="32"/>
        </w:rPr>
        <w:t>——</w:t>
      </w:r>
      <w:r>
        <w:rPr>
          <w:rFonts w:hint="eastAsia" w:ascii="仿宋_GB2312" w:eastAsia="仿宋_GB2312"/>
          <w:sz w:val="32"/>
          <w:szCs w:val="32"/>
        </w:rPr>
        <w:t>保险</w:t>
      </w:r>
      <w:r>
        <w:rPr>
          <w:rFonts w:ascii="仿宋_GB2312" w:eastAsia="仿宋_GB2312"/>
          <w:sz w:val="32"/>
          <w:szCs w:val="32"/>
        </w:rPr>
        <w:t>合同》</w:t>
      </w:r>
      <w:r>
        <w:rPr>
          <w:rFonts w:hint="eastAsia" w:ascii="仿宋_GB2312" w:eastAsia="仿宋_GB2312"/>
          <w:sz w:val="32"/>
          <w:szCs w:val="32"/>
        </w:rPr>
        <w:t>（以下简称《国际财务报告准则第</w:t>
      </w:r>
      <w:r>
        <w:rPr>
          <w:rFonts w:ascii="仿宋_GB2312" w:eastAsia="仿宋_GB2312"/>
          <w:sz w:val="32"/>
          <w:szCs w:val="32"/>
        </w:rPr>
        <w:t>17号</w:t>
      </w:r>
      <w:r>
        <w:rPr>
          <w:rFonts w:hint="eastAsia" w:ascii="仿宋_GB2312" w:eastAsia="仿宋_GB2312"/>
          <w:sz w:val="32"/>
          <w:szCs w:val="32"/>
        </w:rPr>
        <w:t>》）衔接规定</w:t>
      </w:r>
      <w:r>
        <w:rPr>
          <w:rFonts w:hint="default" w:ascii="仿宋_GB2312" w:eastAsia="仿宋_GB2312"/>
          <w:sz w:val="32"/>
          <w:szCs w:val="32"/>
        </w:rPr>
        <w:t>的有关内容进行小范围修订</w:t>
      </w:r>
      <w:r>
        <w:rPr>
          <w:rFonts w:hint="eastAsia" w:ascii="仿宋_GB2312" w:eastAsia="仿宋_GB2312"/>
          <w:sz w:val="32"/>
          <w:szCs w:val="32"/>
        </w:rPr>
        <w:t>，并</w:t>
      </w:r>
      <w:r>
        <w:rPr>
          <w:rFonts w:hint="eastAsia" w:ascii="Times New Roman" w:hAnsi="Times New Roman" w:eastAsia="仿宋_GB2312" w:cs="Times New Roman"/>
          <w:sz w:val="32"/>
        </w:rPr>
        <w:t>广泛征求全球利益相关方的意见和建议，</w:t>
      </w:r>
      <w:r>
        <w:rPr>
          <w:rFonts w:hint="eastAsia" w:ascii="仿宋_GB2312" w:eastAsia="仿宋_GB2312"/>
          <w:sz w:val="32"/>
          <w:szCs w:val="32"/>
        </w:rPr>
        <w:t>征求</w:t>
      </w:r>
      <w:r>
        <w:rPr>
          <w:rFonts w:hint="default" w:ascii="仿宋_GB2312" w:eastAsia="仿宋_GB2312"/>
          <w:sz w:val="32"/>
          <w:szCs w:val="32"/>
        </w:rPr>
        <w:t>意见</w:t>
      </w:r>
      <w:r>
        <w:rPr>
          <w:rFonts w:ascii="仿宋_GB2312" w:eastAsia="仿宋_GB2312"/>
          <w:sz w:val="32"/>
          <w:szCs w:val="32"/>
        </w:rPr>
        <w:t>期将于2021年</w:t>
      </w:r>
      <w:r>
        <w:rPr>
          <w:rFonts w:hint="eastAsia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月2</w:t>
      </w: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日截止</w:t>
      </w:r>
      <w:r>
        <w:rPr>
          <w:rFonts w:hint="eastAsia" w:ascii="仿宋_GB2312" w:eastAsia="仿宋_GB2312"/>
          <w:sz w:val="32"/>
          <w:szCs w:val="32"/>
        </w:rPr>
        <w:t>。本次修订旨在提高首次同时执行《国际财务报告准则第</w:t>
      </w:r>
      <w:r>
        <w:rPr>
          <w:rFonts w:ascii="仿宋_GB2312" w:eastAsia="仿宋_GB2312"/>
          <w:sz w:val="32"/>
          <w:szCs w:val="32"/>
        </w:rPr>
        <w:t>17号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国际财务报告准则第9号——金融工具</w:t>
      </w:r>
      <w:r>
        <w:rPr>
          <w:rFonts w:hint="eastAsia" w:ascii="仿宋_GB2312" w:eastAsia="仿宋_GB2312"/>
          <w:sz w:val="32"/>
          <w:szCs w:val="32"/>
        </w:rPr>
        <w:t>》（以下简称《国际财务报告准则第9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》）的</w:t>
      </w:r>
      <w:r>
        <w:rPr>
          <w:rFonts w:hint="default" w:ascii="仿宋_GB2312" w:eastAsia="仿宋_GB2312"/>
          <w:sz w:val="32"/>
          <w:szCs w:val="32"/>
        </w:rPr>
        <w:t>保险公司所提供的</w:t>
      </w:r>
      <w:r>
        <w:rPr>
          <w:rFonts w:hint="eastAsia" w:ascii="仿宋_GB2312" w:eastAsia="仿宋_GB2312"/>
          <w:sz w:val="32"/>
          <w:szCs w:val="32"/>
        </w:rPr>
        <w:t>比较财务报表数据</w:t>
      </w:r>
      <w:r>
        <w:rPr>
          <w:rFonts w:ascii="仿宋_GB2312" w:eastAsia="仿宋_GB2312"/>
          <w:sz w:val="32"/>
          <w:szCs w:val="32"/>
        </w:rPr>
        <w:t>的有用性。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有关背景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2020年6月25日，理事会发布了《对&lt;国际财务报告准则第17号&gt;的修订》，并规定新修订的</w:t>
      </w:r>
      <w:r>
        <w:rPr>
          <w:rFonts w:hint="eastAsia" w:ascii="仿宋_GB2312" w:eastAsia="仿宋_GB2312"/>
          <w:sz w:val="32"/>
          <w:szCs w:val="32"/>
        </w:rPr>
        <w:t>《国际财务报告准则第</w:t>
      </w:r>
      <w:r>
        <w:rPr>
          <w:rFonts w:ascii="仿宋_GB2312" w:eastAsia="仿宋_GB2312"/>
          <w:sz w:val="32"/>
          <w:szCs w:val="32"/>
        </w:rPr>
        <w:t>17号</w:t>
      </w:r>
      <w:r>
        <w:rPr>
          <w:rFonts w:hint="eastAsia" w:ascii="仿宋_GB2312" w:eastAsia="仿宋_GB2312"/>
          <w:sz w:val="32"/>
          <w:szCs w:val="32"/>
        </w:rPr>
        <w:t>》将于202</w:t>
      </w:r>
      <w:r>
        <w:rPr>
          <w:rFonts w:hint="default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年1月1日或之后开始的会计年度生效，允许企业提前采用。此外，理事会</w:t>
      </w:r>
      <w:r>
        <w:rPr>
          <w:rFonts w:hint="default" w:ascii="仿宋_GB2312" w:eastAsia="仿宋_GB2312"/>
          <w:sz w:val="32"/>
          <w:szCs w:val="32"/>
        </w:rPr>
        <w:t>也对</w:t>
      </w:r>
      <w:r>
        <w:rPr>
          <w:rFonts w:hint="eastAsia" w:ascii="仿宋_GB2312" w:eastAsia="仿宋_GB2312"/>
          <w:sz w:val="32"/>
          <w:szCs w:val="32"/>
        </w:rPr>
        <w:t>《国际财务报告准则第4号——保险合同》</w:t>
      </w:r>
      <w:r>
        <w:rPr>
          <w:rFonts w:hint="default" w:ascii="仿宋_GB2312" w:eastAsia="仿宋_GB2312"/>
          <w:sz w:val="32"/>
          <w:szCs w:val="32"/>
        </w:rPr>
        <w:t>进行了修订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/>
          <w:sz w:val="32"/>
          <w:szCs w:val="32"/>
        </w:rPr>
        <w:t>允许</w:t>
      </w:r>
      <w:r>
        <w:rPr>
          <w:rFonts w:hint="eastAsia" w:ascii="仿宋_GB2312" w:eastAsia="仿宋_GB2312"/>
          <w:sz w:val="32"/>
          <w:szCs w:val="32"/>
        </w:rPr>
        <w:t>符合条件的</w:t>
      </w:r>
      <w:r>
        <w:rPr>
          <w:rFonts w:hint="default" w:ascii="仿宋_GB2312" w:eastAsia="仿宋_GB2312"/>
          <w:sz w:val="32"/>
          <w:szCs w:val="32"/>
        </w:rPr>
        <w:t>企业被</w:t>
      </w:r>
      <w:r>
        <w:rPr>
          <w:rFonts w:hint="eastAsia" w:ascii="仿宋_GB2312" w:eastAsia="仿宋_GB2312"/>
          <w:sz w:val="32"/>
          <w:szCs w:val="32"/>
        </w:rPr>
        <w:t>豁免执行《国际财务报告准则第9号》的期限一并顺延至2023年1月1日。根据</w:t>
      </w:r>
      <w:r>
        <w:rPr>
          <w:rFonts w:hint="default" w:ascii="仿宋_GB2312" w:eastAsia="仿宋_GB2312"/>
          <w:sz w:val="32"/>
          <w:szCs w:val="32"/>
        </w:rPr>
        <w:t>上述有关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国际财务报告准则第9号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的临时性豁免条款规定，许多保险公司将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ascii="仿宋_GB2312" w:eastAsia="仿宋_GB2312"/>
          <w:sz w:val="32"/>
          <w:szCs w:val="32"/>
        </w:rPr>
        <w:t>2023年1月1日或之后开始的会计年度</w:t>
      </w:r>
      <w:r>
        <w:rPr>
          <w:rFonts w:hint="eastAsia" w:ascii="仿宋_GB2312" w:eastAsia="仿宋_GB2312"/>
          <w:sz w:val="32"/>
          <w:szCs w:val="32"/>
        </w:rPr>
        <w:t>首次</w:t>
      </w:r>
      <w:r>
        <w:rPr>
          <w:rFonts w:hint="default" w:ascii="仿宋_GB2312" w:eastAsia="仿宋_GB2312"/>
          <w:sz w:val="32"/>
          <w:szCs w:val="32"/>
        </w:rPr>
        <w:t>同时</w:t>
      </w:r>
      <w:r>
        <w:rPr>
          <w:rFonts w:ascii="仿宋_GB2312" w:eastAsia="仿宋_GB2312"/>
          <w:sz w:val="32"/>
          <w:szCs w:val="32"/>
        </w:rPr>
        <w:t>执行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国际财务报告准则第</w:t>
      </w:r>
      <w:r>
        <w:rPr>
          <w:rFonts w:hint="default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《国际财务报告准则第</w:t>
      </w:r>
      <w:r>
        <w:rPr>
          <w:rFonts w:hint="default"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》。</w:t>
      </w:r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eastAsia="仿宋_GB2312"/>
          <w:sz w:val="32"/>
          <w:szCs w:val="32"/>
        </w:rPr>
        <w:t>然而，</w:t>
      </w:r>
      <w:r>
        <w:rPr>
          <w:rFonts w:hint="default" w:ascii="仿宋_GB2312" w:eastAsia="仿宋_GB2312"/>
          <w:sz w:val="32"/>
          <w:szCs w:val="32"/>
        </w:rPr>
        <w:t>首次</w:t>
      </w:r>
      <w:r>
        <w:rPr>
          <w:rFonts w:hint="eastAsia" w:ascii="仿宋_GB2312" w:eastAsia="仿宋_GB2312"/>
          <w:sz w:val="32"/>
          <w:szCs w:val="32"/>
        </w:rPr>
        <w:t>同时执行《</w:t>
      </w:r>
      <w:r>
        <w:rPr>
          <w:rFonts w:ascii="仿宋_GB2312" w:eastAsia="仿宋_GB2312"/>
          <w:sz w:val="32"/>
          <w:szCs w:val="32"/>
        </w:rPr>
        <w:t>国际财务报告准则第</w:t>
      </w:r>
      <w:r>
        <w:rPr>
          <w:rFonts w:hint="eastAsia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《国际财务报告准则第9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》的</w:t>
      </w:r>
      <w:r>
        <w:rPr>
          <w:rFonts w:hint="default" w:ascii="仿宋_GB2312" w:eastAsia="仿宋_GB2312"/>
          <w:sz w:val="32"/>
          <w:szCs w:val="32"/>
        </w:rPr>
        <w:t>保险公司面临</w:t>
      </w:r>
      <w:r>
        <w:rPr>
          <w:rFonts w:hint="eastAsia" w:ascii="仿宋_GB2312" w:eastAsia="仿宋_GB2312"/>
          <w:sz w:val="32"/>
          <w:szCs w:val="32"/>
        </w:rPr>
        <w:t>两项准则衔接规定不一致</w:t>
      </w:r>
      <w:r>
        <w:rPr>
          <w:rFonts w:hint="default" w:ascii="仿宋_GB2312" w:eastAsia="仿宋_GB2312"/>
          <w:sz w:val="32"/>
          <w:szCs w:val="32"/>
        </w:rPr>
        <w:t>的问题。</w:t>
      </w:r>
      <w:r>
        <w:rPr>
          <w:rFonts w:ascii="仿宋_GB2312" w:eastAsia="仿宋_GB2312"/>
          <w:sz w:val="32"/>
          <w:szCs w:val="32"/>
        </w:rPr>
        <w:t>具体而言</w:t>
      </w:r>
      <w:r>
        <w:rPr>
          <w:rFonts w:hint="eastAsia" w:ascii="仿宋_GB2312" w:eastAsia="仿宋_GB2312"/>
          <w:sz w:val="32"/>
          <w:szCs w:val="32"/>
        </w:rPr>
        <w:t>，《</w:t>
      </w:r>
      <w:r>
        <w:rPr>
          <w:rFonts w:ascii="仿宋_GB2312" w:eastAsia="仿宋_GB2312"/>
          <w:sz w:val="32"/>
          <w:szCs w:val="32"/>
        </w:rPr>
        <w:t>国际财务报告准则第</w:t>
      </w:r>
      <w:r>
        <w:rPr>
          <w:rFonts w:hint="eastAsia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要求</w:t>
      </w:r>
      <w:r>
        <w:rPr>
          <w:rFonts w:ascii="仿宋_GB2312" w:eastAsia="仿宋_GB2312"/>
          <w:sz w:val="32"/>
          <w:szCs w:val="32"/>
        </w:rPr>
        <w:t>企业提供</w:t>
      </w:r>
      <w:r>
        <w:rPr>
          <w:rFonts w:hint="eastAsia" w:ascii="仿宋_GB2312" w:eastAsia="仿宋_GB2312"/>
          <w:sz w:val="32"/>
          <w:szCs w:val="32"/>
        </w:rPr>
        <w:t>从过渡日至首次执行日前的期间内</w:t>
      </w:r>
      <w:r>
        <w:rPr>
          <w:rFonts w:ascii="仿宋_GB2312" w:eastAsia="仿宋_GB2312"/>
          <w:sz w:val="32"/>
          <w:szCs w:val="32"/>
        </w:rPr>
        <w:t>遵循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国际财务报告准则第</w:t>
      </w:r>
      <w:r>
        <w:rPr>
          <w:rFonts w:hint="eastAsia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保险服务收入、保险服务费用、保险财务损益、保险合同负债等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财务报表</w:t>
      </w:r>
      <w:r>
        <w:rPr>
          <w:rFonts w:hint="default" w:ascii="仿宋_GB2312" w:eastAsia="仿宋_GB2312"/>
          <w:sz w:val="32"/>
          <w:szCs w:val="32"/>
        </w:rPr>
        <w:t>数据。但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国际财务报告准则第9号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允许但不要求企业重述金融资产的</w:t>
      </w:r>
      <w:r>
        <w:rPr>
          <w:rFonts w:hint="eastAsia" w:ascii="仿宋_GB2312" w:eastAsia="仿宋_GB2312"/>
          <w:sz w:val="32"/>
          <w:szCs w:val="32"/>
        </w:rPr>
        <w:t>比较财务报表数据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/>
          <w:sz w:val="32"/>
          <w:szCs w:val="32"/>
        </w:rPr>
        <w:t>同时，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国际财务报告准则第9号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规定，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首次</w:t>
      </w:r>
      <w:r>
        <w:rPr>
          <w:rFonts w:ascii="仿宋_GB2312" w:eastAsia="仿宋_GB2312"/>
          <w:sz w:val="32"/>
          <w:szCs w:val="32"/>
        </w:rPr>
        <w:t>执行日之前已终止确认的</w:t>
      </w:r>
      <w:r>
        <w:rPr>
          <w:rFonts w:hint="eastAsia" w:ascii="仿宋_GB2312" w:eastAsia="仿宋_GB2312"/>
          <w:sz w:val="32"/>
          <w:szCs w:val="32"/>
        </w:rPr>
        <w:t>金融</w:t>
      </w:r>
      <w:r>
        <w:rPr>
          <w:rFonts w:ascii="仿宋_GB2312" w:eastAsia="仿宋_GB2312"/>
          <w:sz w:val="32"/>
          <w:szCs w:val="32"/>
        </w:rPr>
        <w:t>资产不适用</w:t>
      </w:r>
      <w:r>
        <w:rPr>
          <w:rFonts w:hint="default" w:ascii="仿宋_GB2312" w:eastAsia="仿宋_GB2312"/>
          <w:sz w:val="32"/>
          <w:szCs w:val="32"/>
        </w:rPr>
        <w:t>本准则</w:t>
      </w:r>
      <w:r>
        <w:rPr>
          <w:rFonts w:ascii="仿宋_GB2312" w:eastAsia="仿宋_GB2312"/>
          <w:sz w:val="32"/>
          <w:szCs w:val="32"/>
        </w:rPr>
        <w:t>。上述规定之间的不一致，将导致保险合同负债和其相关的金融资产之间产生会计错配问题。</w:t>
      </w:r>
    </w:p>
    <w:p>
      <w:pPr>
        <w:ind w:firstLine="640" w:firstLineChars="200"/>
        <w:rPr>
          <w:rFonts w:hint="eastAsia" w:ascii="仿宋_GB2312" w:hAnsi="仿宋_GB2312" w:eastAsia="仿宋_GB2312" w:cs="Times New Roman"/>
          <w:sz w:val="32"/>
          <w:szCs w:val="24"/>
        </w:rPr>
      </w:pPr>
      <w:r>
        <w:rPr>
          <w:rFonts w:hint="eastAsia" w:ascii="仿宋_GB2312" w:eastAsia="仿宋_GB2312"/>
          <w:sz w:val="32"/>
          <w:szCs w:val="32"/>
        </w:rPr>
        <w:t>近期，理事会收到一些企业的反馈，认为</w:t>
      </w:r>
      <w:r>
        <w:rPr>
          <w:rFonts w:hint="default" w:ascii="仿宋_GB2312" w:eastAsia="仿宋_GB2312"/>
          <w:sz w:val="32"/>
          <w:szCs w:val="32"/>
        </w:rPr>
        <w:t>上述</w:t>
      </w:r>
      <w:r>
        <w:rPr>
          <w:rFonts w:hint="eastAsia" w:ascii="仿宋_GB2312" w:eastAsia="仿宋_GB2312"/>
          <w:sz w:val="32"/>
          <w:szCs w:val="32"/>
        </w:rPr>
        <w:t>差异将对</w:t>
      </w:r>
      <w:r>
        <w:rPr>
          <w:rFonts w:ascii="仿宋_GB2312" w:eastAsia="仿宋_GB2312"/>
          <w:sz w:val="32"/>
          <w:szCs w:val="32"/>
        </w:rPr>
        <w:t>首次</w:t>
      </w:r>
      <w:r>
        <w:rPr>
          <w:rFonts w:hint="eastAsia" w:ascii="仿宋_GB2312" w:eastAsia="仿宋_GB2312"/>
          <w:sz w:val="32"/>
          <w:szCs w:val="32"/>
        </w:rPr>
        <w:t>同时执行《</w:t>
      </w:r>
      <w:r>
        <w:rPr>
          <w:rFonts w:ascii="仿宋_GB2312" w:eastAsia="仿宋_GB2312"/>
          <w:sz w:val="32"/>
          <w:szCs w:val="32"/>
        </w:rPr>
        <w:t>国际财务报告准则第</w:t>
      </w:r>
      <w:r>
        <w:rPr>
          <w:rFonts w:hint="eastAsia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《国际财务报告准则第9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的保险公司</w:t>
      </w:r>
      <w:r>
        <w:rPr>
          <w:rFonts w:hint="eastAsia" w:ascii="仿宋_GB2312" w:eastAsia="仿宋_GB2312"/>
          <w:sz w:val="32"/>
          <w:szCs w:val="32"/>
        </w:rPr>
        <w:t>所提供的前期比较财务报表数据</w:t>
      </w:r>
      <w:r>
        <w:rPr>
          <w:rFonts w:ascii="仿宋_GB2312" w:eastAsia="仿宋_GB2312"/>
          <w:sz w:val="32"/>
          <w:szCs w:val="32"/>
        </w:rPr>
        <w:t>的有用性产生重大影响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为此</w:t>
      </w:r>
      <w:r>
        <w:rPr>
          <w:rFonts w:hint="eastAsia" w:ascii="仿宋_GB2312" w:eastAsia="仿宋_GB2312"/>
          <w:sz w:val="32"/>
          <w:szCs w:val="32"/>
        </w:rPr>
        <w:t>，理事会拟通过对《</w:t>
      </w:r>
      <w:r>
        <w:rPr>
          <w:rFonts w:ascii="仿宋_GB2312" w:eastAsia="仿宋_GB2312"/>
          <w:sz w:val="32"/>
          <w:szCs w:val="32"/>
        </w:rPr>
        <w:t>国际财务报告准则第</w:t>
      </w:r>
      <w:r>
        <w:rPr>
          <w:rFonts w:hint="eastAsia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》进行小范围修订，以提升</w:t>
      </w:r>
      <w:r>
        <w:rPr>
          <w:rFonts w:hint="default" w:ascii="仿宋_GB2312" w:eastAsia="仿宋_GB2312"/>
          <w:sz w:val="32"/>
          <w:szCs w:val="32"/>
        </w:rPr>
        <w:t>该</w:t>
      </w:r>
      <w:r>
        <w:rPr>
          <w:rFonts w:hint="eastAsia" w:ascii="仿宋_GB2312" w:eastAsia="仿宋_GB2312"/>
          <w:sz w:val="32"/>
          <w:szCs w:val="32"/>
        </w:rPr>
        <w:t>前期比较财务报表数据</w:t>
      </w:r>
      <w:r>
        <w:rPr>
          <w:rFonts w:ascii="仿宋_GB2312" w:eastAsia="仿宋_GB2312"/>
          <w:sz w:val="32"/>
          <w:szCs w:val="32"/>
        </w:rPr>
        <w:t>的有用性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3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二、征求意见稿的主要内容</w:t>
      </w:r>
    </w:p>
    <w:p>
      <w:pPr>
        <w:ind w:firstLine="642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（一）关于衔接规定</w:t>
      </w:r>
    </w:p>
    <w:p>
      <w:pPr>
        <w:ind w:firstLine="642" w:firstLineChars="200"/>
        <w:rPr>
          <w:rFonts w:hint="default" w:ascii="仿宋_GB2312" w:eastAsia="仿宋_GB2312"/>
          <w:b/>
          <w:bCs/>
          <w:sz w:val="32"/>
          <w:szCs w:val="32"/>
        </w:rPr>
      </w:pPr>
      <w:r>
        <w:rPr>
          <w:rFonts w:hint="default" w:ascii="仿宋_GB2312" w:eastAsia="仿宋_GB2312"/>
          <w:b/>
          <w:bCs/>
          <w:sz w:val="32"/>
          <w:szCs w:val="32"/>
        </w:rPr>
        <w:t>1.分类重叠法的适用范围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征求意见稿提出，对于首次同时执行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国际财务报告准则第</w:t>
      </w:r>
      <w:r>
        <w:rPr>
          <w:rFonts w:hint="eastAsia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《国际财务报告准则第9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的企业，允许其对因</w:t>
      </w:r>
      <w:r>
        <w:rPr>
          <w:rFonts w:hint="eastAsia" w:ascii="仿宋_GB2312" w:eastAsia="仿宋_GB2312"/>
          <w:sz w:val="32"/>
          <w:szCs w:val="32"/>
        </w:rPr>
        <w:t>《国际财务报告准则第17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范围内合同相关的活动而持有的金融资产</w:t>
      </w:r>
      <w:r>
        <w:rPr>
          <w:rFonts w:hint="default" w:ascii="仿宋_GB2312" w:eastAsia="仿宋_GB2312"/>
          <w:sz w:val="32"/>
          <w:szCs w:val="32"/>
        </w:rPr>
        <w:t>采用分类重叠法。</w:t>
      </w:r>
    </w:p>
    <w:p>
      <w:pPr>
        <w:ind w:firstLine="642" w:firstLineChars="200"/>
        <w:rPr>
          <w:rFonts w:hint="default" w:ascii="仿宋_GB2312" w:eastAsia="仿宋_GB2312"/>
          <w:b/>
          <w:bCs/>
          <w:sz w:val="32"/>
          <w:szCs w:val="32"/>
        </w:rPr>
      </w:pPr>
      <w:r>
        <w:rPr>
          <w:rFonts w:hint="default" w:ascii="仿宋_GB2312" w:eastAsia="仿宋_GB2312"/>
          <w:b/>
          <w:bCs/>
          <w:sz w:val="32"/>
          <w:szCs w:val="32"/>
        </w:rPr>
        <w:t>2.采用分类重叠法的要求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如果企业</w:t>
      </w:r>
      <w:r>
        <w:rPr>
          <w:rFonts w:hint="eastAsia" w:ascii="仿宋_GB2312" w:eastAsia="仿宋_GB2312"/>
          <w:sz w:val="32"/>
          <w:szCs w:val="32"/>
        </w:rPr>
        <w:t>采用</w:t>
      </w:r>
      <w:r>
        <w:rPr>
          <w:rFonts w:hint="default" w:ascii="仿宋_GB2312" w:eastAsia="仿宋_GB2312"/>
          <w:sz w:val="32"/>
          <w:szCs w:val="32"/>
        </w:rPr>
        <w:t>分类重叠法，则</w:t>
      </w:r>
      <w:r>
        <w:rPr>
          <w:rFonts w:hint="eastAsia" w:ascii="仿宋_GB2312" w:eastAsia="仿宋_GB2312"/>
          <w:sz w:val="32"/>
          <w:szCs w:val="32"/>
        </w:rPr>
        <w:t>应当</w:t>
      </w:r>
      <w:r>
        <w:rPr>
          <w:rFonts w:hint="default" w:ascii="仿宋_GB2312" w:eastAsia="仿宋_GB2312"/>
          <w:sz w:val="32"/>
          <w:szCs w:val="32"/>
        </w:rPr>
        <w:t>将有关情况</w:t>
      </w:r>
      <w:r>
        <w:rPr>
          <w:rFonts w:hint="eastAsia" w:ascii="仿宋_GB2312" w:eastAsia="仿宋_GB2312"/>
          <w:sz w:val="32"/>
          <w:szCs w:val="32"/>
        </w:rPr>
        <w:t>予以披露。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在《国际财务报告准则第</w:t>
      </w:r>
      <w:r>
        <w:rPr>
          <w:rFonts w:hint="default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过渡</w:t>
      </w:r>
      <w:r>
        <w:rPr>
          <w:rFonts w:hint="eastAsia" w:ascii="仿宋_GB2312" w:eastAsia="仿宋_GB2312"/>
          <w:sz w:val="32"/>
          <w:szCs w:val="32"/>
        </w:rPr>
        <w:t>日，采用</w:t>
      </w:r>
      <w:r>
        <w:rPr>
          <w:rFonts w:hint="default" w:ascii="仿宋_GB2312" w:eastAsia="仿宋_GB2312"/>
          <w:sz w:val="32"/>
          <w:szCs w:val="32"/>
        </w:rPr>
        <w:t>分类重叠法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default" w:ascii="仿宋_GB2312" w:eastAsia="仿宋_GB2312"/>
          <w:sz w:val="32"/>
          <w:szCs w:val="32"/>
        </w:rPr>
        <w:t>企业，</w:t>
      </w:r>
      <w:r>
        <w:rPr>
          <w:rFonts w:hint="eastAsia" w:ascii="仿宋_GB2312" w:eastAsia="仿宋_GB2312"/>
          <w:sz w:val="32"/>
          <w:szCs w:val="32"/>
        </w:rPr>
        <w:t>应当以</w:t>
      </w:r>
      <w:r>
        <w:rPr>
          <w:rFonts w:hint="default" w:ascii="仿宋_GB2312" w:eastAsia="仿宋_GB2312"/>
          <w:sz w:val="32"/>
          <w:szCs w:val="32"/>
        </w:rPr>
        <w:t>过渡日</w:t>
      </w:r>
      <w:r>
        <w:rPr>
          <w:rFonts w:hint="eastAsia" w:ascii="仿宋_GB2312" w:eastAsia="仿宋_GB2312"/>
          <w:sz w:val="32"/>
          <w:szCs w:val="32"/>
        </w:rPr>
        <w:t>可获得的合理</w:t>
      </w:r>
      <w:r>
        <w:rPr>
          <w:rFonts w:hint="default" w:ascii="仿宋_GB2312" w:eastAsia="仿宋_GB2312"/>
          <w:sz w:val="32"/>
          <w:szCs w:val="32"/>
        </w:rPr>
        <w:t>且</w:t>
      </w:r>
      <w:r>
        <w:rPr>
          <w:rFonts w:hint="eastAsia" w:ascii="仿宋_GB2312" w:eastAsia="仿宋_GB2312"/>
          <w:sz w:val="32"/>
          <w:szCs w:val="32"/>
        </w:rPr>
        <w:t>可</w:t>
      </w:r>
      <w:r>
        <w:rPr>
          <w:rFonts w:hint="default" w:ascii="仿宋_GB2312" w:eastAsia="仿宋_GB2312"/>
          <w:sz w:val="32"/>
          <w:szCs w:val="32"/>
        </w:rPr>
        <w:t>支持</w:t>
      </w:r>
      <w:r>
        <w:rPr>
          <w:rFonts w:hint="eastAsia" w:ascii="仿宋_GB2312" w:eastAsia="仿宋_GB2312"/>
          <w:sz w:val="32"/>
          <w:szCs w:val="32"/>
        </w:rPr>
        <w:t>的信息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确定</w:t>
      </w:r>
      <w:r>
        <w:rPr>
          <w:rFonts w:ascii="仿宋_GB2312" w:eastAsia="仿宋_GB2312"/>
          <w:sz w:val="32"/>
          <w:szCs w:val="32"/>
        </w:rPr>
        <w:t>金融资产的分类，且该分类应当与</w:t>
      </w:r>
      <w:r>
        <w:rPr>
          <w:rFonts w:hint="default" w:ascii="仿宋_GB2312" w:eastAsia="仿宋_GB2312"/>
          <w:sz w:val="32"/>
          <w:szCs w:val="32"/>
        </w:rPr>
        <w:t>预期的首次执行日确定的金融资产的分类保持一致。此外，</w:t>
      </w:r>
      <w:r>
        <w:rPr>
          <w:rFonts w:hint="eastAsia" w:ascii="仿宋_GB2312" w:eastAsia="仿宋_GB2312"/>
          <w:sz w:val="32"/>
          <w:szCs w:val="32"/>
        </w:rPr>
        <w:t>采用</w:t>
      </w:r>
      <w:r>
        <w:rPr>
          <w:rFonts w:hint="default" w:ascii="仿宋_GB2312" w:eastAsia="仿宋_GB2312"/>
          <w:sz w:val="32"/>
          <w:szCs w:val="32"/>
        </w:rPr>
        <w:t>分类重叠法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default" w:ascii="仿宋_GB2312" w:eastAsia="仿宋_GB2312"/>
          <w:sz w:val="32"/>
          <w:szCs w:val="32"/>
        </w:rPr>
        <w:t>企业应当根据该分类的结果列示比较财务报表数据信息。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企业在采用分类重叠法时</w:t>
      </w:r>
      <w:r>
        <w:rPr>
          <w:rFonts w:hint="default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无需</w:t>
      </w:r>
      <w:r>
        <w:rPr>
          <w:rFonts w:hint="default" w:ascii="仿宋_GB2312" w:eastAsia="仿宋_GB2312"/>
          <w:sz w:val="32"/>
          <w:szCs w:val="32"/>
        </w:rPr>
        <w:t>应用</w:t>
      </w:r>
      <w:r>
        <w:rPr>
          <w:rFonts w:hint="eastAsia" w:ascii="仿宋_GB2312" w:eastAsia="仿宋_GB2312"/>
          <w:sz w:val="32"/>
          <w:szCs w:val="32"/>
        </w:rPr>
        <w:t>《国际财务报告准则第9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中有关</w:t>
      </w:r>
      <w:r>
        <w:rPr>
          <w:rFonts w:ascii="仿宋_GB2312" w:eastAsia="仿宋_GB2312"/>
          <w:sz w:val="32"/>
          <w:szCs w:val="32"/>
        </w:rPr>
        <w:t>减值的规定。金融资产</w:t>
      </w:r>
      <w:r>
        <w:rPr>
          <w:rFonts w:hint="default" w:ascii="仿宋_GB2312" w:eastAsia="仿宋_GB2312"/>
          <w:sz w:val="32"/>
          <w:szCs w:val="32"/>
        </w:rPr>
        <w:t>原</w:t>
      </w:r>
      <w:r>
        <w:rPr>
          <w:rFonts w:ascii="仿宋_GB2312" w:eastAsia="仿宋_GB2312"/>
          <w:sz w:val="32"/>
          <w:szCs w:val="32"/>
        </w:rPr>
        <w:t>账面价值与过渡日的新账面价值之间</w:t>
      </w:r>
      <w:r>
        <w:rPr>
          <w:rFonts w:hint="eastAsia" w:ascii="仿宋_GB2312" w:eastAsia="仿宋_GB2312"/>
          <w:sz w:val="32"/>
          <w:szCs w:val="32"/>
        </w:rPr>
        <w:t>的差额，应</w:t>
      </w:r>
      <w:r>
        <w:rPr>
          <w:rFonts w:hint="default" w:ascii="仿宋_GB2312" w:eastAsia="仿宋_GB2312"/>
          <w:sz w:val="32"/>
          <w:szCs w:val="32"/>
        </w:rPr>
        <w:t>当</w:t>
      </w:r>
      <w:r>
        <w:rPr>
          <w:rFonts w:hint="eastAsia" w:ascii="仿宋_GB2312" w:eastAsia="仿宋_GB2312"/>
          <w:sz w:val="32"/>
          <w:szCs w:val="32"/>
        </w:rPr>
        <w:t>计入</w:t>
      </w:r>
      <w:r>
        <w:rPr>
          <w:rFonts w:hint="default" w:ascii="仿宋_GB2312" w:eastAsia="仿宋_GB2312"/>
          <w:sz w:val="32"/>
          <w:szCs w:val="32"/>
        </w:rPr>
        <w:t>过渡</w:t>
      </w:r>
      <w:r>
        <w:rPr>
          <w:rFonts w:hint="eastAsia" w:ascii="仿宋_GB2312" w:eastAsia="仿宋_GB2312"/>
          <w:sz w:val="32"/>
          <w:szCs w:val="32"/>
        </w:rPr>
        <w:t>日所在</w:t>
      </w:r>
      <w:r>
        <w:fldChar w:fldCharType="begin"/>
      </w:r>
      <w:r>
        <w:instrText xml:space="preserve"> HYPERLINK "http://baike.esnai.com/view.aspx?w=%c4%ea%b6%c8%b1%a8%b8%e6" \t "_blank" \o "会计百科:年度报告"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年度报告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期间的期初留存收益</w:t>
      </w:r>
      <w:r>
        <w:rPr>
          <w:rFonts w:ascii="仿宋_GB2312" w:eastAsia="仿宋_GB2312"/>
          <w:sz w:val="32"/>
          <w:szCs w:val="32"/>
        </w:rPr>
        <w:t>（或其他的权益成分，如适用）。</w:t>
      </w:r>
    </w:p>
    <w:p>
      <w:pPr>
        <w:ind w:firstLine="642" w:firstLineChars="200"/>
        <w:rPr>
          <w:rFonts w:hint="default" w:ascii="仿宋_GB2312" w:eastAsia="仿宋_GB2312"/>
          <w:b/>
          <w:bCs/>
          <w:sz w:val="32"/>
          <w:szCs w:val="32"/>
        </w:rPr>
      </w:pPr>
      <w:r>
        <w:rPr>
          <w:rFonts w:hint="default" w:ascii="仿宋_GB2312" w:eastAsia="仿宋_GB2312"/>
          <w:b/>
          <w:bCs/>
          <w:sz w:val="32"/>
          <w:szCs w:val="32"/>
        </w:rPr>
        <w:t>3.其他要求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《国际财务报告准则第9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首次执行</w:t>
      </w:r>
      <w:r>
        <w:rPr>
          <w:rFonts w:ascii="仿宋_GB2312" w:eastAsia="仿宋_GB2312"/>
          <w:sz w:val="32"/>
          <w:szCs w:val="32"/>
        </w:rPr>
        <w:t>日，无论企业是否</w:t>
      </w:r>
      <w:r>
        <w:rPr>
          <w:rFonts w:hint="eastAsia" w:ascii="仿宋_GB2312" w:eastAsia="仿宋_GB2312"/>
          <w:sz w:val="32"/>
          <w:szCs w:val="32"/>
        </w:rPr>
        <w:t>采用</w:t>
      </w:r>
      <w:r>
        <w:rPr>
          <w:rFonts w:hint="default" w:ascii="仿宋_GB2312" w:eastAsia="仿宋_GB2312"/>
          <w:sz w:val="32"/>
          <w:szCs w:val="32"/>
        </w:rPr>
        <w:t>分类重叠法列示金融资产的比较财务数据</w:t>
      </w:r>
      <w:r>
        <w:rPr>
          <w:rFonts w:ascii="仿宋_GB2312" w:eastAsia="仿宋_GB2312"/>
          <w:sz w:val="32"/>
          <w:szCs w:val="32"/>
        </w:rPr>
        <w:t>，都应当按照</w:t>
      </w:r>
      <w:r>
        <w:rPr>
          <w:rFonts w:hint="eastAsia" w:ascii="仿宋_GB2312" w:eastAsia="仿宋_GB2312"/>
          <w:sz w:val="32"/>
          <w:szCs w:val="32"/>
        </w:rPr>
        <w:t>《国际财务报告准则第9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的衔接规定，对金融资产</w:t>
      </w:r>
      <w:r>
        <w:rPr>
          <w:rFonts w:hint="default" w:ascii="仿宋_GB2312" w:eastAsia="仿宋_GB2312"/>
          <w:sz w:val="32"/>
          <w:szCs w:val="32"/>
        </w:rPr>
        <w:t>进行相应的会计处理。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征求意见稿明确不适用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分类重叠法要求</w:t>
      </w:r>
      <w:r>
        <w:rPr>
          <w:rFonts w:ascii="仿宋_GB2312" w:eastAsia="仿宋_GB2312"/>
          <w:sz w:val="32"/>
          <w:szCs w:val="32"/>
        </w:rPr>
        <w:t>的情形包括：</w:t>
      </w:r>
      <w:r>
        <w:rPr>
          <w:rFonts w:hint="default" w:ascii="仿宋_GB2312" w:eastAsia="仿宋_GB2312"/>
          <w:sz w:val="32"/>
          <w:szCs w:val="32"/>
        </w:rPr>
        <w:t>一是与</w:t>
      </w:r>
      <w:r>
        <w:rPr>
          <w:rFonts w:hint="eastAsia" w:ascii="仿宋_GB2312" w:eastAsia="仿宋_GB2312"/>
          <w:sz w:val="32"/>
          <w:szCs w:val="32"/>
        </w:rPr>
        <w:t>《国际财务报告准则第17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范围内合同无关的活动而持有的金融资产，</w:t>
      </w:r>
      <w:r>
        <w:rPr>
          <w:rFonts w:hint="eastAsia" w:ascii="仿宋_GB2312" w:eastAsia="仿宋_GB2312"/>
          <w:sz w:val="32"/>
          <w:szCs w:val="32"/>
        </w:rPr>
        <w:t>二是《国际财务报告准则第17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default" w:ascii="仿宋_GB2312" w:eastAsia="仿宋_GB2312"/>
          <w:sz w:val="32"/>
          <w:szCs w:val="32"/>
        </w:rPr>
        <w:t>过渡日</w:t>
      </w:r>
      <w:r>
        <w:rPr>
          <w:rFonts w:ascii="仿宋_GB2312" w:eastAsia="仿宋_GB2312"/>
          <w:sz w:val="32"/>
          <w:szCs w:val="32"/>
        </w:rPr>
        <w:t>之前报告期间的</w:t>
      </w:r>
      <w:r>
        <w:rPr>
          <w:rFonts w:hint="eastAsia" w:ascii="仿宋_GB2312" w:eastAsia="仿宋_GB2312"/>
          <w:sz w:val="32"/>
          <w:szCs w:val="32"/>
        </w:rPr>
        <w:t>比较财务报表数据。</w:t>
      </w:r>
    </w:p>
    <w:p>
      <w:pPr>
        <w:widowControl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）</w:t>
      </w:r>
      <w:r>
        <w:rPr>
          <w:rFonts w:hint="default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关于生效日期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</w:rPr>
        <w:t>企业有权选择是否应用上述衔接规定，如果企业选择应用该规定，则</w:t>
      </w:r>
      <w:r>
        <w:rPr>
          <w:rFonts w:ascii="仿宋_GB2312" w:eastAsia="仿宋_GB2312"/>
          <w:sz w:val="32"/>
          <w:szCs w:val="32"/>
          <w:highlight w:val="none"/>
        </w:rPr>
        <w:t>应当于首次执行</w:t>
      </w:r>
      <w:r>
        <w:rPr>
          <w:rFonts w:hint="eastAsia" w:ascii="仿宋_GB2312" w:eastAsia="仿宋_GB2312"/>
          <w:sz w:val="32"/>
          <w:szCs w:val="32"/>
          <w:highlight w:val="none"/>
        </w:rPr>
        <w:t>《国际财务报告准则第</w:t>
      </w:r>
      <w:r>
        <w:rPr>
          <w:rFonts w:ascii="仿宋_GB2312" w:eastAsia="仿宋_GB2312"/>
          <w:sz w:val="32"/>
          <w:szCs w:val="32"/>
          <w:highlight w:val="none"/>
        </w:rPr>
        <w:t>17号</w:t>
      </w:r>
      <w:r>
        <w:rPr>
          <w:rFonts w:hint="eastAsia" w:ascii="仿宋_GB2312" w:eastAsia="仿宋_GB2312"/>
          <w:sz w:val="32"/>
          <w:szCs w:val="32"/>
          <w:highlight w:val="none"/>
        </w:rPr>
        <w:t>》</w:t>
      </w:r>
      <w:r>
        <w:rPr>
          <w:rFonts w:ascii="仿宋_GB2312" w:eastAsia="仿宋_GB2312"/>
          <w:sz w:val="32"/>
          <w:szCs w:val="32"/>
          <w:highlight w:val="none"/>
        </w:rPr>
        <w:t>时，</w:t>
      </w:r>
      <w:r>
        <w:rPr>
          <w:rFonts w:hint="eastAsia" w:ascii="仿宋_GB2312" w:eastAsia="仿宋_GB2312"/>
          <w:sz w:val="32"/>
          <w:szCs w:val="32"/>
          <w:highlight w:val="none"/>
        </w:rPr>
        <w:t>一并</w:t>
      </w:r>
      <w:r>
        <w:rPr>
          <w:rFonts w:ascii="仿宋_GB2312" w:eastAsia="仿宋_GB2312"/>
          <w:sz w:val="32"/>
          <w:szCs w:val="32"/>
          <w:highlight w:val="none"/>
        </w:rPr>
        <w:t>执行征求意见稿对</w:t>
      </w:r>
      <w:r>
        <w:rPr>
          <w:rFonts w:hint="eastAsia" w:ascii="仿宋_GB2312" w:eastAsia="仿宋_GB2312"/>
          <w:sz w:val="32"/>
          <w:szCs w:val="32"/>
          <w:highlight w:val="none"/>
        </w:rPr>
        <w:t>《国际财务报告准则第</w:t>
      </w:r>
      <w:r>
        <w:rPr>
          <w:rFonts w:ascii="仿宋_GB2312" w:eastAsia="仿宋_GB2312"/>
          <w:sz w:val="32"/>
          <w:szCs w:val="32"/>
          <w:highlight w:val="none"/>
        </w:rPr>
        <w:t>17号</w:t>
      </w:r>
      <w:r>
        <w:rPr>
          <w:rFonts w:hint="eastAsia" w:ascii="仿宋_GB2312" w:eastAsia="仿宋_GB2312"/>
          <w:sz w:val="32"/>
          <w:szCs w:val="32"/>
          <w:highlight w:val="none"/>
        </w:rPr>
        <w:t>》衔接规定</w:t>
      </w:r>
      <w:r>
        <w:rPr>
          <w:rFonts w:ascii="仿宋_GB2312" w:eastAsia="仿宋_GB2312"/>
          <w:sz w:val="32"/>
          <w:szCs w:val="32"/>
          <w:highlight w:val="none"/>
        </w:rPr>
        <w:t>的小范围修订。</w:t>
      </w:r>
    </w:p>
    <w:p>
      <w:pPr>
        <w:ind w:firstLine="630"/>
        <w:rPr>
          <w:rFonts w:hint="default" w:ascii="黑体" w:hAnsi="黑体" w:eastAsia="黑体" w:cs="仿宋"/>
          <w:sz w:val="32"/>
          <w:szCs w:val="32"/>
        </w:rPr>
      </w:pPr>
      <w:r>
        <w:rPr>
          <w:rFonts w:hint="default" w:ascii="黑体" w:hAnsi="黑体" w:eastAsia="黑体" w:cs="仿宋"/>
          <w:sz w:val="32"/>
          <w:szCs w:val="32"/>
        </w:rPr>
        <w:t>三</w:t>
      </w:r>
      <w:r>
        <w:rPr>
          <w:rFonts w:hint="eastAsia" w:ascii="黑体" w:hAnsi="黑体" w:eastAsia="黑体" w:cs="仿宋"/>
          <w:sz w:val="32"/>
          <w:szCs w:val="32"/>
        </w:rPr>
        <w:t>、征求意见</w:t>
      </w:r>
      <w:r>
        <w:rPr>
          <w:rFonts w:hint="default" w:ascii="黑体" w:hAnsi="黑体" w:eastAsia="黑体" w:cs="仿宋"/>
          <w:sz w:val="32"/>
          <w:szCs w:val="32"/>
        </w:rPr>
        <w:t>稿的主要问题</w:t>
      </w:r>
      <w:bookmarkStart w:id="2" w:name="_GoBack"/>
      <w:bookmarkEnd w:id="2"/>
    </w:p>
    <w:p>
      <w:pPr>
        <w:spacing w:line="360" w:lineRule="auto"/>
        <w:ind w:firstLine="640" w:firstLineChars="200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您是否同意征求意见稿就</w:t>
      </w:r>
      <w:r>
        <w:rPr>
          <w:rFonts w:hint="eastAsia" w:ascii="仿宋_GB2312" w:eastAsia="仿宋_GB2312"/>
          <w:sz w:val="32"/>
          <w:szCs w:val="32"/>
          <w:highlight w:val="none"/>
        </w:rPr>
        <w:t>《国际财务报告准则第</w:t>
      </w:r>
      <w:r>
        <w:rPr>
          <w:rFonts w:ascii="仿宋_GB2312" w:eastAsia="仿宋_GB2312"/>
          <w:sz w:val="32"/>
          <w:szCs w:val="32"/>
          <w:highlight w:val="none"/>
        </w:rPr>
        <w:t>17号</w:t>
      </w:r>
      <w:r>
        <w:rPr>
          <w:rFonts w:hint="eastAsia" w:ascii="仿宋_GB2312" w:eastAsia="仿宋_GB2312"/>
          <w:sz w:val="32"/>
          <w:szCs w:val="32"/>
          <w:highlight w:val="none"/>
        </w:rPr>
        <w:t>》衔接规定</w:t>
      </w:r>
      <w:r>
        <w:rPr>
          <w:rFonts w:hint="default" w:ascii="仿宋_GB2312" w:eastAsia="仿宋_GB2312"/>
          <w:sz w:val="32"/>
          <w:szCs w:val="32"/>
          <w:highlight w:val="none"/>
        </w:rPr>
        <w:t>进行</w:t>
      </w:r>
      <w:r>
        <w:rPr>
          <w:rFonts w:ascii="仿宋_GB2312" w:eastAsia="仿宋_GB2312"/>
          <w:sz w:val="32"/>
          <w:szCs w:val="32"/>
          <w:highlight w:val="none"/>
        </w:rPr>
        <w:t>修订的建议？同意或不同意的理由是什么？如果不同意，您是否有可替代的解决方案，并请您说明理由。</w:t>
      </w:r>
    </w:p>
    <w:sectPr>
      <w:footerReference r:id="rId3" w:type="default"/>
      <w:pgSz w:w="11906" w:h="16838"/>
      <w:pgMar w:top="1440" w:right="1587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53431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34D"/>
    <w:multiLevelType w:val="multilevel"/>
    <w:tmpl w:val="0A2D034D"/>
    <w:lvl w:ilvl="0" w:tentative="0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00"/>
    <w:rsid w:val="0000646A"/>
    <w:rsid w:val="00010018"/>
    <w:rsid w:val="00010D39"/>
    <w:rsid w:val="000115B9"/>
    <w:rsid w:val="00011A4B"/>
    <w:rsid w:val="00015E10"/>
    <w:rsid w:val="00016256"/>
    <w:rsid w:val="0001630C"/>
    <w:rsid w:val="00016820"/>
    <w:rsid w:val="00016D54"/>
    <w:rsid w:val="00021046"/>
    <w:rsid w:val="0002420E"/>
    <w:rsid w:val="00024399"/>
    <w:rsid w:val="00024711"/>
    <w:rsid w:val="00025687"/>
    <w:rsid w:val="00027AAB"/>
    <w:rsid w:val="0003313C"/>
    <w:rsid w:val="000338BF"/>
    <w:rsid w:val="000358CA"/>
    <w:rsid w:val="00037706"/>
    <w:rsid w:val="000406C8"/>
    <w:rsid w:val="00042335"/>
    <w:rsid w:val="00044030"/>
    <w:rsid w:val="00044233"/>
    <w:rsid w:val="000466FA"/>
    <w:rsid w:val="00046EBA"/>
    <w:rsid w:val="0004776F"/>
    <w:rsid w:val="00050196"/>
    <w:rsid w:val="00052F79"/>
    <w:rsid w:val="00055AB3"/>
    <w:rsid w:val="00056A04"/>
    <w:rsid w:val="00057FB0"/>
    <w:rsid w:val="000611E0"/>
    <w:rsid w:val="00061B4C"/>
    <w:rsid w:val="00062512"/>
    <w:rsid w:val="0006273C"/>
    <w:rsid w:val="0006287D"/>
    <w:rsid w:val="00063D6F"/>
    <w:rsid w:val="00063F00"/>
    <w:rsid w:val="00064164"/>
    <w:rsid w:val="000658E3"/>
    <w:rsid w:val="00066AEB"/>
    <w:rsid w:val="000702E7"/>
    <w:rsid w:val="00070D82"/>
    <w:rsid w:val="000719EA"/>
    <w:rsid w:val="00071CB8"/>
    <w:rsid w:val="00072F9C"/>
    <w:rsid w:val="00076543"/>
    <w:rsid w:val="00076A1C"/>
    <w:rsid w:val="0007701F"/>
    <w:rsid w:val="000772A0"/>
    <w:rsid w:val="00077D53"/>
    <w:rsid w:val="0008120B"/>
    <w:rsid w:val="00082A33"/>
    <w:rsid w:val="00082F5F"/>
    <w:rsid w:val="00082FDF"/>
    <w:rsid w:val="00084440"/>
    <w:rsid w:val="000844F7"/>
    <w:rsid w:val="00084914"/>
    <w:rsid w:val="00085897"/>
    <w:rsid w:val="000860AE"/>
    <w:rsid w:val="00086104"/>
    <w:rsid w:val="00086C70"/>
    <w:rsid w:val="00090D0B"/>
    <w:rsid w:val="00090E56"/>
    <w:rsid w:val="000923F8"/>
    <w:rsid w:val="00096DA7"/>
    <w:rsid w:val="0009706A"/>
    <w:rsid w:val="00097DDC"/>
    <w:rsid w:val="000A0510"/>
    <w:rsid w:val="000A0613"/>
    <w:rsid w:val="000A5528"/>
    <w:rsid w:val="000A5682"/>
    <w:rsid w:val="000A6733"/>
    <w:rsid w:val="000A690A"/>
    <w:rsid w:val="000A6B98"/>
    <w:rsid w:val="000A7177"/>
    <w:rsid w:val="000B1D32"/>
    <w:rsid w:val="000B28B0"/>
    <w:rsid w:val="000B2A32"/>
    <w:rsid w:val="000B448B"/>
    <w:rsid w:val="000B538F"/>
    <w:rsid w:val="000B576C"/>
    <w:rsid w:val="000B6B55"/>
    <w:rsid w:val="000B6CCC"/>
    <w:rsid w:val="000B6DBA"/>
    <w:rsid w:val="000C3139"/>
    <w:rsid w:val="000C366E"/>
    <w:rsid w:val="000C467D"/>
    <w:rsid w:val="000C50B2"/>
    <w:rsid w:val="000C534B"/>
    <w:rsid w:val="000C7B76"/>
    <w:rsid w:val="000D0027"/>
    <w:rsid w:val="000D030A"/>
    <w:rsid w:val="000D0FA9"/>
    <w:rsid w:val="000D1ECC"/>
    <w:rsid w:val="000D2E71"/>
    <w:rsid w:val="000D381A"/>
    <w:rsid w:val="000D394B"/>
    <w:rsid w:val="000D645A"/>
    <w:rsid w:val="000D66EA"/>
    <w:rsid w:val="000D6AB4"/>
    <w:rsid w:val="000D7088"/>
    <w:rsid w:val="000D73F7"/>
    <w:rsid w:val="000D788F"/>
    <w:rsid w:val="000E0990"/>
    <w:rsid w:val="000E4336"/>
    <w:rsid w:val="000E5730"/>
    <w:rsid w:val="000F085F"/>
    <w:rsid w:val="000F151D"/>
    <w:rsid w:val="000F1FD9"/>
    <w:rsid w:val="000F22C7"/>
    <w:rsid w:val="000F33FF"/>
    <w:rsid w:val="000F50E3"/>
    <w:rsid w:val="000F66F1"/>
    <w:rsid w:val="000F673B"/>
    <w:rsid w:val="000F757C"/>
    <w:rsid w:val="000F7FAF"/>
    <w:rsid w:val="00102072"/>
    <w:rsid w:val="00103838"/>
    <w:rsid w:val="00111E36"/>
    <w:rsid w:val="00112599"/>
    <w:rsid w:val="00112B50"/>
    <w:rsid w:val="0011384B"/>
    <w:rsid w:val="00113C09"/>
    <w:rsid w:val="00122A0C"/>
    <w:rsid w:val="00122A81"/>
    <w:rsid w:val="0012338C"/>
    <w:rsid w:val="00124D15"/>
    <w:rsid w:val="00130875"/>
    <w:rsid w:val="001318F9"/>
    <w:rsid w:val="0013235E"/>
    <w:rsid w:val="001339A9"/>
    <w:rsid w:val="001349EE"/>
    <w:rsid w:val="0013549D"/>
    <w:rsid w:val="00140B5F"/>
    <w:rsid w:val="00141E9F"/>
    <w:rsid w:val="00142EFD"/>
    <w:rsid w:val="001430EE"/>
    <w:rsid w:val="0014313A"/>
    <w:rsid w:val="00143765"/>
    <w:rsid w:val="00146392"/>
    <w:rsid w:val="00146535"/>
    <w:rsid w:val="00150357"/>
    <w:rsid w:val="0015112A"/>
    <w:rsid w:val="001531FB"/>
    <w:rsid w:val="001535C5"/>
    <w:rsid w:val="001547C1"/>
    <w:rsid w:val="00155F55"/>
    <w:rsid w:val="00156D2E"/>
    <w:rsid w:val="001578E7"/>
    <w:rsid w:val="00160A00"/>
    <w:rsid w:val="00162421"/>
    <w:rsid w:val="00162627"/>
    <w:rsid w:val="00174887"/>
    <w:rsid w:val="00183D0C"/>
    <w:rsid w:val="00184104"/>
    <w:rsid w:val="00184CA1"/>
    <w:rsid w:val="001919DC"/>
    <w:rsid w:val="00191EB8"/>
    <w:rsid w:val="001920DF"/>
    <w:rsid w:val="001928CA"/>
    <w:rsid w:val="00194C77"/>
    <w:rsid w:val="00194FEC"/>
    <w:rsid w:val="00195293"/>
    <w:rsid w:val="00196B14"/>
    <w:rsid w:val="00196CCC"/>
    <w:rsid w:val="001A4345"/>
    <w:rsid w:val="001A4EF3"/>
    <w:rsid w:val="001A6F32"/>
    <w:rsid w:val="001B033C"/>
    <w:rsid w:val="001B0BE8"/>
    <w:rsid w:val="001B3C4F"/>
    <w:rsid w:val="001B5162"/>
    <w:rsid w:val="001B5673"/>
    <w:rsid w:val="001B5BC5"/>
    <w:rsid w:val="001B69BE"/>
    <w:rsid w:val="001C0C5A"/>
    <w:rsid w:val="001C25AC"/>
    <w:rsid w:val="001C76C2"/>
    <w:rsid w:val="001D023A"/>
    <w:rsid w:val="001D282E"/>
    <w:rsid w:val="001D591F"/>
    <w:rsid w:val="001D5A9E"/>
    <w:rsid w:val="001D5CD2"/>
    <w:rsid w:val="001D61AA"/>
    <w:rsid w:val="001E03A7"/>
    <w:rsid w:val="001E18C1"/>
    <w:rsid w:val="001E3F48"/>
    <w:rsid w:val="001F0533"/>
    <w:rsid w:val="001F1CA7"/>
    <w:rsid w:val="001F20D7"/>
    <w:rsid w:val="001F2F06"/>
    <w:rsid w:val="001F3469"/>
    <w:rsid w:val="001F3AE3"/>
    <w:rsid w:val="001F4958"/>
    <w:rsid w:val="001F5BDC"/>
    <w:rsid w:val="001F724A"/>
    <w:rsid w:val="00201764"/>
    <w:rsid w:val="002024AD"/>
    <w:rsid w:val="0020435C"/>
    <w:rsid w:val="00204B05"/>
    <w:rsid w:val="002056D4"/>
    <w:rsid w:val="00207798"/>
    <w:rsid w:val="00207830"/>
    <w:rsid w:val="002109CC"/>
    <w:rsid w:val="0021278B"/>
    <w:rsid w:val="00215866"/>
    <w:rsid w:val="00217FCE"/>
    <w:rsid w:val="002227D4"/>
    <w:rsid w:val="00222A2D"/>
    <w:rsid w:val="00223387"/>
    <w:rsid w:val="00226883"/>
    <w:rsid w:val="002321E4"/>
    <w:rsid w:val="00234467"/>
    <w:rsid w:val="00234EE6"/>
    <w:rsid w:val="002352B9"/>
    <w:rsid w:val="002352C3"/>
    <w:rsid w:val="00240EBB"/>
    <w:rsid w:val="00240FB8"/>
    <w:rsid w:val="00241327"/>
    <w:rsid w:val="0024178A"/>
    <w:rsid w:val="00241A63"/>
    <w:rsid w:val="0024346A"/>
    <w:rsid w:val="0024348C"/>
    <w:rsid w:val="002439A7"/>
    <w:rsid w:val="00243AAE"/>
    <w:rsid w:val="002440A0"/>
    <w:rsid w:val="0024462D"/>
    <w:rsid w:val="00244F06"/>
    <w:rsid w:val="00245059"/>
    <w:rsid w:val="00245A09"/>
    <w:rsid w:val="00245EC3"/>
    <w:rsid w:val="00246D34"/>
    <w:rsid w:val="0024770E"/>
    <w:rsid w:val="00250B79"/>
    <w:rsid w:val="002510A0"/>
    <w:rsid w:val="002512EB"/>
    <w:rsid w:val="00252BE2"/>
    <w:rsid w:val="00255480"/>
    <w:rsid w:val="002564B3"/>
    <w:rsid w:val="00261B8F"/>
    <w:rsid w:val="00261F64"/>
    <w:rsid w:val="002621FA"/>
    <w:rsid w:val="00262EBA"/>
    <w:rsid w:val="00264305"/>
    <w:rsid w:val="00264593"/>
    <w:rsid w:val="00264D91"/>
    <w:rsid w:val="00266BED"/>
    <w:rsid w:val="002679D1"/>
    <w:rsid w:val="00267A98"/>
    <w:rsid w:val="00267CE0"/>
    <w:rsid w:val="002707F9"/>
    <w:rsid w:val="00272030"/>
    <w:rsid w:val="0027211E"/>
    <w:rsid w:val="002741FD"/>
    <w:rsid w:val="00275BD6"/>
    <w:rsid w:val="0027650A"/>
    <w:rsid w:val="00276761"/>
    <w:rsid w:val="00276A13"/>
    <w:rsid w:val="002771EC"/>
    <w:rsid w:val="002812D1"/>
    <w:rsid w:val="0028176A"/>
    <w:rsid w:val="00281A41"/>
    <w:rsid w:val="0028414F"/>
    <w:rsid w:val="00285AE1"/>
    <w:rsid w:val="00286990"/>
    <w:rsid w:val="00287971"/>
    <w:rsid w:val="00291FAE"/>
    <w:rsid w:val="002920F4"/>
    <w:rsid w:val="0029467F"/>
    <w:rsid w:val="002A1388"/>
    <w:rsid w:val="002A4A32"/>
    <w:rsid w:val="002A4A66"/>
    <w:rsid w:val="002A67CC"/>
    <w:rsid w:val="002A6F13"/>
    <w:rsid w:val="002B1650"/>
    <w:rsid w:val="002B2098"/>
    <w:rsid w:val="002B469E"/>
    <w:rsid w:val="002B474F"/>
    <w:rsid w:val="002B4CD5"/>
    <w:rsid w:val="002B51F5"/>
    <w:rsid w:val="002B538B"/>
    <w:rsid w:val="002B5B22"/>
    <w:rsid w:val="002B76E1"/>
    <w:rsid w:val="002B78F7"/>
    <w:rsid w:val="002C048C"/>
    <w:rsid w:val="002C3C98"/>
    <w:rsid w:val="002C4D65"/>
    <w:rsid w:val="002C5C2A"/>
    <w:rsid w:val="002C5F6F"/>
    <w:rsid w:val="002C5FF0"/>
    <w:rsid w:val="002D11D4"/>
    <w:rsid w:val="002D2038"/>
    <w:rsid w:val="002D3E18"/>
    <w:rsid w:val="002D4129"/>
    <w:rsid w:val="002D6FED"/>
    <w:rsid w:val="002E00DF"/>
    <w:rsid w:val="002E0F6A"/>
    <w:rsid w:val="002E3253"/>
    <w:rsid w:val="002E6D53"/>
    <w:rsid w:val="002E6F6F"/>
    <w:rsid w:val="002E7C9B"/>
    <w:rsid w:val="002F00C4"/>
    <w:rsid w:val="002F027B"/>
    <w:rsid w:val="002F032C"/>
    <w:rsid w:val="002F2531"/>
    <w:rsid w:val="002F2555"/>
    <w:rsid w:val="002F3384"/>
    <w:rsid w:val="002F3862"/>
    <w:rsid w:val="002F439E"/>
    <w:rsid w:val="002F6020"/>
    <w:rsid w:val="002F7BAD"/>
    <w:rsid w:val="0030027D"/>
    <w:rsid w:val="0030163F"/>
    <w:rsid w:val="00301FEE"/>
    <w:rsid w:val="00302CA2"/>
    <w:rsid w:val="003053ED"/>
    <w:rsid w:val="0030696E"/>
    <w:rsid w:val="00306C84"/>
    <w:rsid w:val="0030759B"/>
    <w:rsid w:val="00307713"/>
    <w:rsid w:val="00307CAD"/>
    <w:rsid w:val="00307FE1"/>
    <w:rsid w:val="00310E67"/>
    <w:rsid w:val="00313329"/>
    <w:rsid w:val="0031353F"/>
    <w:rsid w:val="00313835"/>
    <w:rsid w:val="00313E68"/>
    <w:rsid w:val="00314D47"/>
    <w:rsid w:val="003153CD"/>
    <w:rsid w:val="003163EB"/>
    <w:rsid w:val="00316A97"/>
    <w:rsid w:val="00316EF2"/>
    <w:rsid w:val="00317CA7"/>
    <w:rsid w:val="00317EA5"/>
    <w:rsid w:val="0032044D"/>
    <w:rsid w:val="00320D98"/>
    <w:rsid w:val="003219F6"/>
    <w:rsid w:val="00321C6E"/>
    <w:rsid w:val="00321CD1"/>
    <w:rsid w:val="003273EF"/>
    <w:rsid w:val="00327CB2"/>
    <w:rsid w:val="00331158"/>
    <w:rsid w:val="00331855"/>
    <w:rsid w:val="00334A58"/>
    <w:rsid w:val="00334B6F"/>
    <w:rsid w:val="00335FD0"/>
    <w:rsid w:val="003361AD"/>
    <w:rsid w:val="003404AF"/>
    <w:rsid w:val="003409DA"/>
    <w:rsid w:val="00343435"/>
    <w:rsid w:val="00345027"/>
    <w:rsid w:val="0034585C"/>
    <w:rsid w:val="00350D9D"/>
    <w:rsid w:val="0035151B"/>
    <w:rsid w:val="00351916"/>
    <w:rsid w:val="003551FC"/>
    <w:rsid w:val="003565D5"/>
    <w:rsid w:val="003565FA"/>
    <w:rsid w:val="003607B7"/>
    <w:rsid w:val="0036350C"/>
    <w:rsid w:val="003644FD"/>
    <w:rsid w:val="003668A9"/>
    <w:rsid w:val="003718F2"/>
    <w:rsid w:val="00372004"/>
    <w:rsid w:val="00372784"/>
    <w:rsid w:val="0037291F"/>
    <w:rsid w:val="003759CF"/>
    <w:rsid w:val="003776AF"/>
    <w:rsid w:val="00383925"/>
    <w:rsid w:val="00386264"/>
    <w:rsid w:val="0038734B"/>
    <w:rsid w:val="003879B3"/>
    <w:rsid w:val="00387E35"/>
    <w:rsid w:val="003904BD"/>
    <w:rsid w:val="00390878"/>
    <w:rsid w:val="003927E3"/>
    <w:rsid w:val="00392B9E"/>
    <w:rsid w:val="003949E6"/>
    <w:rsid w:val="00394D43"/>
    <w:rsid w:val="003958EB"/>
    <w:rsid w:val="00396BE7"/>
    <w:rsid w:val="003A07F4"/>
    <w:rsid w:val="003A0A2E"/>
    <w:rsid w:val="003A0D73"/>
    <w:rsid w:val="003A16C4"/>
    <w:rsid w:val="003A1A32"/>
    <w:rsid w:val="003A1DA2"/>
    <w:rsid w:val="003A4451"/>
    <w:rsid w:val="003A58E5"/>
    <w:rsid w:val="003A67A6"/>
    <w:rsid w:val="003B0927"/>
    <w:rsid w:val="003B1737"/>
    <w:rsid w:val="003B2658"/>
    <w:rsid w:val="003B297E"/>
    <w:rsid w:val="003B40E7"/>
    <w:rsid w:val="003B416C"/>
    <w:rsid w:val="003B4D79"/>
    <w:rsid w:val="003B515D"/>
    <w:rsid w:val="003B5A59"/>
    <w:rsid w:val="003B5D2B"/>
    <w:rsid w:val="003B5F50"/>
    <w:rsid w:val="003B7F8C"/>
    <w:rsid w:val="003C0AC8"/>
    <w:rsid w:val="003C22C4"/>
    <w:rsid w:val="003C36E1"/>
    <w:rsid w:val="003C401F"/>
    <w:rsid w:val="003C7257"/>
    <w:rsid w:val="003C736F"/>
    <w:rsid w:val="003C739C"/>
    <w:rsid w:val="003C780A"/>
    <w:rsid w:val="003D0CE4"/>
    <w:rsid w:val="003D10D1"/>
    <w:rsid w:val="003D30E7"/>
    <w:rsid w:val="003D3BD8"/>
    <w:rsid w:val="003D4866"/>
    <w:rsid w:val="003D4DE7"/>
    <w:rsid w:val="003D5535"/>
    <w:rsid w:val="003D673E"/>
    <w:rsid w:val="003D6903"/>
    <w:rsid w:val="003D6FB6"/>
    <w:rsid w:val="003E0EFB"/>
    <w:rsid w:val="003E1268"/>
    <w:rsid w:val="003E6463"/>
    <w:rsid w:val="003E6B04"/>
    <w:rsid w:val="003F291D"/>
    <w:rsid w:val="003F2E3A"/>
    <w:rsid w:val="003F5274"/>
    <w:rsid w:val="003F5C42"/>
    <w:rsid w:val="003F7E67"/>
    <w:rsid w:val="0040053F"/>
    <w:rsid w:val="00400F2C"/>
    <w:rsid w:val="004038E6"/>
    <w:rsid w:val="00403C00"/>
    <w:rsid w:val="00404C53"/>
    <w:rsid w:val="004071AD"/>
    <w:rsid w:val="00407784"/>
    <w:rsid w:val="00410191"/>
    <w:rsid w:val="004103ED"/>
    <w:rsid w:val="0041086C"/>
    <w:rsid w:val="00410B6B"/>
    <w:rsid w:val="00411F3E"/>
    <w:rsid w:val="00412140"/>
    <w:rsid w:val="00413DF4"/>
    <w:rsid w:val="0041552B"/>
    <w:rsid w:val="00415EE5"/>
    <w:rsid w:val="00421A3A"/>
    <w:rsid w:val="00422745"/>
    <w:rsid w:val="00422B09"/>
    <w:rsid w:val="00423D32"/>
    <w:rsid w:val="00425B41"/>
    <w:rsid w:val="00425C7C"/>
    <w:rsid w:val="00426D13"/>
    <w:rsid w:val="004275C1"/>
    <w:rsid w:val="00427636"/>
    <w:rsid w:val="0043207D"/>
    <w:rsid w:val="00432748"/>
    <w:rsid w:val="00432921"/>
    <w:rsid w:val="00433E5B"/>
    <w:rsid w:val="004342FA"/>
    <w:rsid w:val="00434D30"/>
    <w:rsid w:val="004356E0"/>
    <w:rsid w:val="00443976"/>
    <w:rsid w:val="00443D41"/>
    <w:rsid w:val="00445D39"/>
    <w:rsid w:val="004478D1"/>
    <w:rsid w:val="00447FB0"/>
    <w:rsid w:val="0045186B"/>
    <w:rsid w:val="004536E3"/>
    <w:rsid w:val="00454674"/>
    <w:rsid w:val="00454964"/>
    <w:rsid w:val="0045631A"/>
    <w:rsid w:val="00456432"/>
    <w:rsid w:val="004569C4"/>
    <w:rsid w:val="00460B0B"/>
    <w:rsid w:val="00463F69"/>
    <w:rsid w:val="00464BA9"/>
    <w:rsid w:val="00465EC2"/>
    <w:rsid w:val="004662D7"/>
    <w:rsid w:val="00466651"/>
    <w:rsid w:val="0046743F"/>
    <w:rsid w:val="0047050D"/>
    <w:rsid w:val="00472127"/>
    <w:rsid w:val="004733B8"/>
    <w:rsid w:val="00475112"/>
    <w:rsid w:val="0047619F"/>
    <w:rsid w:val="004762BA"/>
    <w:rsid w:val="00476634"/>
    <w:rsid w:val="004773FA"/>
    <w:rsid w:val="004802FD"/>
    <w:rsid w:val="00480400"/>
    <w:rsid w:val="0048107E"/>
    <w:rsid w:val="00481B75"/>
    <w:rsid w:val="00481B76"/>
    <w:rsid w:val="00484582"/>
    <w:rsid w:val="0049011A"/>
    <w:rsid w:val="004903DA"/>
    <w:rsid w:val="00490CF1"/>
    <w:rsid w:val="00491578"/>
    <w:rsid w:val="004937DC"/>
    <w:rsid w:val="0049393A"/>
    <w:rsid w:val="004942AB"/>
    <w:rsid w:val="00495019"/>
    <w:rsid w:val="00496D19"/>
    <w:rsid w:val="004A04EE"/>
    <w:rsid w:val="004A0965"/>
    <w:rsid w:val="004A0FF7"/>
    <w:rsid w:val="004A14C6"/>
    <w:rsid w:val="004A2A7A"/>
    <w:rsid w:val="004A49BD"/>
    <w:rsid w:val="004A4FC8"/>
    <w:rsid w:val="004A5703"/>
    <w:rsid w:val="004A6672"/>
    <w:rsid w:val="004A69F1"/>
    <w:rsid w:val="004A6D47"/>
    <w:rsid w:val="004B1671"/>
    <w:rsid w:val="004B23CE"/>
    <w:rsid w:val="004B4E82"/>
    <w:rsid w:val="004B6077"/>
    <w:rsid w:val="004B6D39"/>
    <w:rsid w:val="004B7413"/>
    <w:rsid w:val="004B7467"/>
    <w:rsid w:val="004C00AB"/>
    <w:rsid w:val="004C0BA0"/>
    <w:rsid w:val="004C14EB"/>
    <w:rsid w:val="004C2349"/>
    <w:rsid w:val="004C25D2"/>
    <w:rsid w:val="004C2AA4"/>
    <w:rsid w:val="004C6469"/>
    <w:rsid w:val="004C727A"/>
    <w:rsid w:val="004D1A56"/>
    <w:rsid w:val="004D4D84"/>
    <w:rsid w:val="004D4F4B"/>
    <w:rsid w:val="004D5305"/>
    <w:rsid w:val="004D7D78"/>
    <w:rsid w:val="004E1197"/>
    <w:rsid w:val="004E2A47"/>
    <w:rsid w:val="004E309C"/>
    <w:rsid w:val="004E3200"/>
    <w:rsid w:val="004E4CE8"/>
    <w:rsid w:val="004E4F46"/>
    <w:rsid w:val="004E5E24"/>
    <w:rsid w:val="004E6F88"/>
    <w:rsid w:val="004E7489"/>
    <w:rsid w:val="004F0792"/>
    <w:rsid w:val="004F1D74"/>
    <w:rsid w:val="004F2545"/>
    <w:rsid w:val="004F27A1"/>
    <w:rsid w:val="004F3FF0"/>
    <w:rsid w:val="004F5126"/>
    <w:rsid w:val="004F56C5"/>
    <w:rsid w:val="004F6201"/>
    <w:rsid w:val="004F6675"/>
    <w:rsid w:val="004F6886"/>
    <w:rsid w:val="004F7DC1"/>
    <w:rsid w:val="00500C86"/>
    <w:rsid w:val="00503510"/>
    <w:rsid w:val="00504245"/>
    <w:rsid w:val="00504628"/>
    <w:rsid w:val="00505E60"/>
    <w:rsid w:val="00506655"/>
    <w:rsid w:val="00506B0B"/>
    <w:rsid w:val="00506BCA"/>
    <w:rsid w:val="00510007"/>
    <w:rsid w:val="00512AC3"/>
    <w:rsid w:val="00513A46"/>
    <w:rsid w:val="00513E29"/>
    <w:rsid w:val="005140C5"/>
    <w:rsid w:val="00515BD9"/>
    <w:rsid w:val="00516E50"/>
    <w:rsid w:val="005175F5"/>
    <w:rsid w:val="00517628"/>
    <w:rsid w:val="00521A6B"/>
    <w:rsid w:val="005257B8"/>
    <w:rsid w:val="005265C5"/>
    <w:rsid w:val="00527013"/>
    <w:rsid w:val="00527494"/>
    <w:rsid w:val="00535EDE"/>
    <w:rsid w:val="00536DBB"/>
    <w:rsid w:val="0053702C"/>
    <w:rsid w:val="00537399"/>
    <w:rsid w:val="0054011C"/>
    <w:rsid w:val="00540A22"/>
    <w:rsid w:val="005411BD"/>
    <w:rsid w:val="00541EE1"/>
    <w:rsid w:val="00544CE6"/>
    <w:rsid w:val="00545021"/>
    <w:rsid w:val="00546DC0"/>
    <w:rsid w:val="00547D18"/>
    <w:rsid w:val="005505F6"/>
    <w:rsid w:val="00551251"/>
    <w:rsid w:val="0055148D"/>
    <w:rsid w:val="00551673"/>
    <w:rsid w:val="00551695"/>
    <w:rsid w:val="00551C12"/>
    <w:rsid w:val="00554C9A"/>
    <w:rsid w:val="00554CA8"/>
    <w:rsid w:val="005551D3"/>
    <w:rsid w:val="00556357"/>
    <w:rsid w:val="00556414"/>
    <w:rsid w:val="00560ECF"/>
    <w:rsid w:val="005610BE"/>
    <w:rsid w:val="00562C5E"/>
    <w:rsid w:val="00564D39"/>
    <w:rsid w:val="005659B9"/>
    <w:rsid w:val="0057171F"/>
    <w:rsid w:val="00571A16"/>
    <w:rsid w:val="00572281"/>
    <w:rsid w:val="00573058"/>
    <w:rsid w:val="0057420F"/>
    <w:rsid w:val="00574E82"/>
    <w:rsid w:val="005755EE"/>
    <w:rsid w:val="00575BF8"/>
    <w:rsid w:val="00576887"/>
    <w:rsid w:val="00576F82"/>
    <w:rsid w:val="00581562"/>
    <w:rsid w:val="00583942"/>
    <w:rsid w:val="00583DC1"/>
    <w:rsid w:val="005844E4"/>
    <w:rsid w:val="00585203"/>
    <w:rsid w:val="00585424"/>
    <w:rsid w:val="00587686"/>
    <w:rsid w:val="00590071"/>
    <w:rsid w:val="00590A7A"/>
    <w:rsid w:val="005928D3"/>
    <w:rsid w:val="005932D3"/>
    <w:rsid w:val="00595062"/>
    <w:rsid w:val="0059584C"/>
    <w:rsid w:val="0059622A"/>
    <w:rsid w:val="0059762E"/>
    <w:rsid w:val="005A06DA"/>
    <w:rsid w:val="005A0F2F"/>
    <w:rsid w:val="005A3071"/>
    <w:rsid w:val="005A40BD"/>
    <w:rsid w:val="005A5D34"/>
    <w:rsid w:val="005A662C"/>
    <w:rsid w:val="005A6638"/>
    <w:rsid w:val="005B0613"/>
    <w:rsid w:val="005B1C2B"/>
    <w:rsid w:val="005B366E"/>
    <w:rsid w:val="005B3956"/>
    <w:rsid w:val="005B3F50"/>
    <w:rsid w:val="005B5652"/>
    <w:rsid w:val="005B69D0"/>
    <w:rsid w:val="005C10D5"/>
    <w:rsid w:val="005C1F6B"/>
    <w:rsid w:val="005C4F60"/>
    <w:rsid w:val="005C77B7"/>
    <w:rsid w:val="005C7DAF"/>
    <w:rsid w:val="005D090F"/>
    <w:rsid w:val="005D0979"/>
    <w:rsid w:val="005D0E7E"/>
    <w:rsid w:val="005D102A"/>
    <w:rsid w:val="005D241F"/>
    <w:rsid w:val="005D4452"/>
    <w:rsid w:val="005D5730"/>
    <w:rsid w:val="005D5FD2"/>
    <w:rsid w:val="005D770C"/>
    <w:rsid w:val="005E23EC"/>
    <w:rsid w:val="005E39AA"/>
    <w:rsid w:val="005E570A"/>
    <w:rsid w:val="005E695D"/>
    <w:rsid w:val="005F0BF4"/>
    <w:rsid w:val="005F3636"/>
    <w:rsid w:val="005F4F5E"/>
    <w:rsid w:val="005F6CEB"/>
    <w:rsid w:val="00601539"/>
    <w:rsid w:val="00601E58"/>
    <w:rsid w:val="006023E8"/>
    <w:rsid w:val="00611794"/>
    <w:rsid w:val="006131F6"/>
    <w:rsid w:val="00613741"/>
    <w:rsid w:val="006141D3"/>
    <w:rsid w:val="006175C8"/>
    <w:rsid w:val="006258A7"/>
    <w:rsid w:val="0062641F"/>
    <w:rsid w:val="0062665C"/>
    <w:rsid w:val="00630BF0"/>
    <w:rsid w:val="00631B4C"/>
    <w:rsid w:val="006321BC"/>
    <w:rsid w:val="00632615"/>
    <w:rsid w:val="00634773"/>
    <w:rsid w:val="0063550D"/>
    <w:rsid w:val="00635745"/>
    <w:rsid w:val="00635811"/>
    <w:rsid w:val="00642179"/>
    <w:rsid w:val="00646A68"/>
    <w:rsid w:val="0065042C"/>
    <w:rsid w:val="00650AB5"/>
    <w:rsid w:val="00650FF2"/>
    <w:rsid w:val="00652595"/>
    <w:rsid w:val="0065293D"/>
    <w:rsid w:val="00654A16"/>
    <w:rsid w:val="00655072"/>
    <w:rsid w:val="006561DD"/>
    <w:rsid w:val="00656FA0"/>
    <w:rsid w:val="00657C00"/>
    <w:rsid w:val="0066365B"/>
    <w:rsid w:val="00663920"/>
    <w:rsid w:val="006664AA"/>
    <w:rsid w:val="0067076F"/>
    <w:rsid w:val="006709F6"/>
    <w:rsid w:val="0067160A"/>
    <w:rsid w:val="006723CE"/>
    <w:rsid w:val="00674A99"/>
    <w:rsid w:val="006753B0"/>
    <w:rsid w:val="0067709C"/>
    <w:rsid w:val="00677A2D"/>
    <w:rsid w:val="00680A7C"/>
    <w:rsid w:val="0068212F"/>
    <w:rsid w:val="006823A9"/>
    <w:rsid w:val="006827AD"/>
    <w:rsid w:val="006828E9"/>
    <w:rsid w:val="006843D6"/>
    <w:rsid w:val="00690BC5"/>
    <w:rsid w:val="006932F2"/>
    <w:rsid w:val="0069550C"/>
    <w:rsid w:val="00696D4D"/>
    <w:rsid w:val="006A19A0"/>
    <w:rsid w:val="006A237C"/>
    <w:rsid w:val="006A4872"/>
    <w:rsid w:val="006A7485"/>
    <w:rsid w:val="006A784D"/>
    <w:rsid w:val="006A7A04"/>
    <w:rsid w:val="006B0D19"/>
    <w:rsid w:val="006B512D"/>
    <w:rsid w:val="006B6272"/>
    <w:rsid w:val="006B7B1C"/>
    <w:rsid w:val="006C3E21"/>
    <w:rsid w:val="006D00AD"/>
    <w:rsid w:val="006D019C"/>
    <w:rsid w:val="006D0351"/>
    <w:rsid w:val="006D128F"/>
    <w:rsid w:val="006D5476"/>
    <w:rsid w:val="006D7513"/>
    <w:rsid w:val="006E1455"/>
    <w:rsid w:val="006E244F"/>
    <w:rsid w:val="006E53EA"/>
    <w:rsid w:val="006E5E83"/>
    <w:rsid w:val="006F0528"/>
    <w:rsid w:val="006F3D3F"/>
    <w:rsid w:val="006F4839"/>
    <w:rsid w:val="006F526E"/>
    <w:rsid w:val="006F5B0E"/>
    <w:rsid w:val="006F6B8D"/>
    <w:rsid w:val="006F72BD"/>
    <w:rsid w:val="006F79AA"/>
    <w:rsid w:val="007002FE"/>
    <w:rsid w:val="00702A5E"/>
    <w:rsid w:val="0070387E"/>
    <w:rsid w:val="00703C38"/>
    <w:rsid w:val="00705989"/>
    <w:rsid w:val="00710E7E"/>
    <w:rsid w:val="007117FE"/>
    <w:rsid w:val="007123EB"/>
    <w:rsid w:val="00712444"/>
    <w:rsid w:val="007129DE"/>
    <w:rsid w:val="00713A50"/>
    <w:rsid w:val="00714E12"/>
    <w:rsid w:val="00716500"/>
    <w:rsid w:val="0071729C"/>
    <w:rsid w:val="007206E8"/>
    <w:rsid w:val="00720971"/>
    <w:rsid w:val="00721919"/>
    <w:rsid w:val="0072352E"/>
    <w:rsid w:val="00723F9B"/>
    <w:rsid w:val="00725114"/>
    <w:rsid w:val="007271B8"/>
    <w:rsid w:val="007301DB"/>
    <w:rsid w:val="0073071E"/>
    <w:rsid w:val="00730CDE"/>
    <w:rsid w:val="00731521"/>
    <w:rsid w:val="0073468E"/>
    <w:rsid w:val="00737677"/>
    <w:rsid w:val="0074198B"/>
    <w:rsid w:val="00741DF8"/>
    <w:rsid w:val="00745DC8"/>
    <w:rsid w:val="00746525"/>
    <w:rsid w:val="0074717E"/>
    <w:rsid w:val="00747D49"/>
    <w:rsid w:val="00751259"/>
    <w:rsid w:val="007546E4"/>
    <w:rsid w:val="007569B9"/>
    <w:rsid w:val="00756AA0"/>
    <w:rsid w:val="0075768B"/>
    <w:rsid w:val="00764867"/>
    <w:rsid w:val="00766ACB"/>
    <w:rsid w:val="0076782B"/>
    <w:rsid w:val="007701AA"/>
    <w:rsid w:val="00771965"/>
    <w:rsid w:val="00772C41"/>
    <w:rsid w:val="00773F1D"/>
    <w:rsid w:val="0077442C"/>
    <w:rsid w:val="007745B4"/>
    <w:rsid w:val="00782331"/>
    <w:rsid w:val="0078299E"/>
    <w:rsid w:val="00784574"/>
    <w:rsid w:val="00785C97"/>
    <w:rsid w:val="00790257"/>
    <w:rsid w:val="0079698F"/>
    <w:rsid w:val="00796C83"/>
    <w:rsid w:val="007A22DD"/>
    <w:rsid w:val="007A3545"/>
    <w:rsid w:val="007A44E6"/>
    <w:rsid w:val="007A4787"/>
    <w:rsid w:val="007A5FE9"/>
    <w:rsid w:val="007A671D"/>
    <w:rsid w:val="007A72F0"/>
    <w:rsid w:val="007B0A82"/>
    <w:rsid w:val="007B1001"/>
    <w:rsid w:val="007B200C"/>
    <w:rsid w:val="007B2805"/>
    <w:rsid w:val="007B4B4C"/>
    <w:rsid w:val="007B5E12"/>
    <w:rsid w:val="007B704B"/>
    <w:rsid w:val="007B7D37"/>
    <w:rsid w:val="007C0C3C"/>
    <w:rsid w:val="007C368D"/>
    <w:rsid w:val="007C3A92"/>
    <w:rsid w:val="007C416A"/>
    <w:rsid w:val="007C468F"/>
    <w:rsid w:val="007C7247"/>
    <w:rsid w:val="007C7924"/>
    <w:rsid w:val="007D0280"/>
    <w:rsid w:val="007D2CD4"/>
    <w:rsid w:val="007D4632"/>
    <w:rsid w:val="007D4C98"/>
    <w:rsid w:val="007D7ED7"/>
    <w:rsid w:val="007E2632"/>
    <w:rsid w:val="007E50A1"/>
    <w:rsid w:val="007F154F"/>
    <w:rsid w:val="007F2469"/>
    <w:rsid w:val="007F283E"/>
    <w:rsid w:val="007F3454"/>
    <w:rsid w:val="007F3A27"/>
    <w:rsid w:val="007F40F0"/>
    <w:rsid w:val="007F50FA"/>
    <w:rsid w:val="007F606D"/>
    <w:rsid w:val="0080081B"/>
    <w:rsid w:val="00803333"/>
    <w:rsid w:val="008044A5"/>
    <w:rsid w:val="00804B2B"/>
    <w:rsid w:val="008050CC"/>
    <w:rsid w:val="00805BB7"/>
    <w:rsid w:val="0080686B"/>
    <w:rsid w:val="00806DE7"/>
    <w:rsid w:val="008102A0"/>
    <w:rsid w:val="00813084"/>
    <w:rsid w:val="008155E1"/>
    <w:rsid w:val="00822138"/>
    <w:rsid w:val="008223EB"/>
    <w:rsid w:val="0082265E"/>
    <w:rsid w:val="00827608"/>
    <w:rsid w:val="0083124A"/>
    <w:rsid w:val="00832C8D"/>
    <w:rsid w:val="00833821"/>
    <w:rsid w:val="00833CB0"/>
    <w:rsid w:val="00836614"/>
    <w:rsid w:val="008367BB"/>
    <w:rsid w:val="008408A3"/>
    <w:rsid w:val="0084221A"/>
    <w:rsid w:val="00842D7D"/>
    <w:rsid w:val="008440EE"/>
    <w:rsid w:val="00850C63"/>
    <w:rsid w:val="008524BF"/>
    <w:rsid w:val="00853939"/>
    <w:rsid w:val="00853D0E"/>
    <w:rsid w:val="008542FC"/>
    <w:rsid w:val="0085430D"/>
    <w:rsid w:val="008572E1"/>
    <w:rsid w:val="00860F99"/>
    <w:rsid w:val="00861B58"/>
    <w:rsid w:val="00861C5B"/>
    <w:rsid w:val="00862ED7"/>
    <w:rsid w:val="00863C65"/>
    <w:rsid w:val="00865395"/>
    <w:rsid w:val="00866411"/>
    <w:rsid w:val="0086677F"/>
    <w:rsid w:val="0086702E"/>
    <w:rsid w:val="0086756F"/>
    <w:rsid w:val="00867A87"/>
    <w:rsid w:val="00867C1F"/>
    <w:rsid w:val="00870378"/>
    <w:rsid w:val="008711EA"/>
    <w:rsid w:val="00871B69"/>
    <w:rsid w:val="00876292"/>
    <w:rsid w:val="00876967"/>
    <w:rsid w:val="008817E5"/>
    <w:rsid w:val="0088348B"/>
    <w:rsid w:val="00883669"/>
    <w:rsid w:val="00883CAB"/>
    <w:rsid w:val="00885910"/>
    <w:rsid w:val="00887A99"/>
    <w:rsid w:val="0089000E"/>
    <w:rsid w:val="00890F26"/>
    <w:rsid w:val="00891937"/>
    <w:rsid w:val="00892AEB"/>
    <w:rsid w:val="00893DB6"/>
    <w:rsid w:val="0089465B"/>
    <w:rsid w:val="00894AF6"/>
    <w:rsid w:val="0089667F"/>
    <w:rsid w:val="008A0C2B"/>
    <w:rsid w:val="008A16E6"/>
    <w:rsid w:val="008A440D"/>
    <w:rsid w:val="008A44D6"/>
    <w:rsid w:val="008A5E74"/>
    <w:rsid w:val="008B1C7F"/>
    <w:rsid w:val="008B1C9A"/>
    <w:rsid w:val="008B23F7"/>
    <w:rsid w:val="008B2C4A"/>
    <w:rsid w:val="008B3044"/>
    <w:rsid w:val="008B3159"/>
    <w:rsid w:val="008B5F12"/>
    <w:rsid w:val="008B6681"/>
    <w:rsid w:val="008B6A72"/>
    <w:rsid w:val="008C01B8"/>
    <w:rsid w:val="008C023E"/>
    <w:rsid w:val="008C0349"/>
    <w:rsid w:val="008C2671"/>
    <w:rsid w:val="008D1153"/>
    <w:rsid w:val="008D180A"/>
    <w:rsid w:val="008D30BC"/>
    <w:rsid w:val="008D343C"/>
    <w:rsid w:val="008D4009"/>
    <w:rsid w:val="008D419D"/>
    <w:rsid w:val="008D5F26"/>
    <w:rsid w:val="008D6C23"/>
    <w:rsid w:val="008D751C"/>
    <w:rsid w:val="008E5936"/>
    <w:rsid w:val="008E5983"/>
    <w:rsid w:val="008E720F"/>
    <w:rsid w:val="008E72C1"/>
    <w:rsid w:val="008F035F"/>
    <w:rsid w:val="008F03B5"/>
    <w:rsid w:val="008F2B41"/>
    <w:rsid w:val="008F418F"/>
    <w:rsid w:val="008F4397"/>
    <w:rsid w:val="008F461C"/>
    <w:rsid w:val="008F6F55"/>
    <w:rsid w:val="008F79D2"/>
    <w:rsid w:val="00900371"/>
    <w:rsid w:val="00900EDC"/>
    <w:rsid w:val="00902834"/>
    <w:rsid w:val="00903815"/>
    <w:rsid w:val="00906235"/>
    <w:rsid w:val="009076C8"/>
    <w:rsid w:val="009106AF"/>
    <w:rsid w:val="009126B5"/>
    <w:rsid w:val="00912B80"/>
    <w:rsid w:val="00913688"/>
    <w:rsid w:val="0091488B"/>
    <w:rsid w:val="00914D38"/>
    <w:rsid w:val="00916332"/>
    <w:rsid w:val="00916AC6"/>
    <w:rsid w:val="00916D0F"/>
    <w:rsid w:val="009175C3"/>
    <w:rsid w:val="009201F5"/>
    <w:rsid w:val="00920B03"/>
    <w:rsid w:val="00920ECA"/>
    <w:rsid w:val="00920FFB"/>
    <w:rsid w:val="00921503"/>
    <w:rsid w:val="00923FAA"/>
    <w:rsid w:val="00925065"/>
    <w:rsid w:val="00925A73"/>
    <w:rsid w:val="00931BB6"/>
    <w:rsid w:val="00932902"/>
    <w:rsid w:val="0093290B"/>
    <w:rsid w:val="009355E0"/>
    <w:rsid w:val="00935ED7"/>
    <w:rsid w:val="00935F6E"/>
    <w:rsid w:val="00941CAD"/>
    <w:rsid w:val="00941D53"/>
    <w:rsid w:val="00941D97"/>
    <w:rsid w:val="00941FA4"/>
    <w:rsid w:val="009421F8"/>
    <w:rsid w:val="00943389"/>
    <w:rsid w:val="00947870"/>
    <w:rsid w:val="00950240"/>
    <w:rsid w:val="009513F4"/>
    <w:rsid w:val="0095343D"/>
    <w:rsid w:val="00953C8F"/>
    <w:rsid w:val="009552FE"/>
    <w:rsid w:val="009563C1"/>
    <w:rsid w:val="00957032"/>
    <w:rsid w:val="0095728A"/>
    <w:rsid w:val="0096017F"/>
    <w:rsid w:val="00960F2E"/>
    <w:rsid w:val="0096185E"/>
    <w:rsid w:val="0096233A"/>
    <w:rsid w:val="00962E2D"/>
    <w:rsid w:val="00963BFD"/>
    <w:rsid w:val="00965F82"/>
    <w:rsid w:val="00966D9D"/>
    <w:rsid w:val="00972653"/>
    <w:rsid w:val="0097398B"/>
    <w:rsid w:val="00977028"/>
    <w:rsid w:val="009774E9"/>
    <w:rsid w:val="00980360"/>
    <w:rsid w:val="00980530"/>
    <w:rsid w:val="0098225E"/>
    <w:rsid w:val="0098244C"/>
    <w:rsid w:val="0098294E"/>
    <w:rsid w:val="009834AB"/>
    <w:rsid w:val="009834B4"/>
    <w:rsid w:val="00983834"/>
    <w:rsid w:val="00983BA5"/>
    <w:rsid w:val="00983CD2"/>
    <w:rsid w:val="009842F4"/>
    <w:rsid w:val="00986883"/>
    <w:rsid w:val="00987AB2"/>
    <w:rsid w:val="00990662"/>
    <w:rsid w:val="009931DA"/>
    <w:rsid w:val="0099716D"/>
    <w:rsid w:val="009A2287"/>
    <w:rsid w:val="009A344D"/>
    <w:rsid w:val="009A34BE"/>
    <w:rsid w:val="009A460E"/>
    <w:rsid w:val="009A5010"/>
    <w:rsid w:val="009A5ACF"/>
    <w:rsid w:val="009A67F7"/>
    <w:rsid w:val="009A6B49"/>
    <w:rsid w:val="009A6CA2"/>
    <w:rsid w:val="009A72BE"/>
    <w:rsid w:val="009A7F09"/>
    <w:rsid w:val="009B05D0"/>
    <w:rsid w:val="009B0903"/>
    <w:rsid w:val="009B1B53"/>
    <w:rsid w:val="009B201A"/>
    <w:rsid w:val="009B3B99"/>
    <w:rsid w:val="009C1298"/>
    <w:rsid w:val="009C46F8"/>
    <w:rsid w:val="009C5096"/>
    <w:rsid w:val="009C5188"/>
    <w:rsid w:val="009C580A"/>
    <w:rsid w:val="009C5EDF"/>
    <w:rsid w:val="009C68BA"/>
    <w:rsid w:val="009D1477"/>
    <w:rsid w:val="009D2095"/>
    <w:rsid w:val="009D4847"/>
    <w:rsid w:val="009E2540"/>
    <w:rsid w:val="009E27C4"/>
    <w:rsid w:val="009E29A2"/>
    <w:rsid w:val="009E5086"/>
    <w:rsid w:val="009E55F5"/>
    <w:rsid w:val="009F0B9E"/>
    <w:rsid w:val="009F1F5F"/>
    <w:rsid w:val="009F393E"/>
    <w:rsid w:val="009F44F8"/>
    <w:rsid w:val="009F5B2C"/>
    <w:rsid w:val="009F6339"/>
    <w:rsid w:val="009F67AF"/>
    <w:rsid w:val="009F7403"/>
    <w:rsid w:val="00A01517"/>
    <w:rsid w:val="00A03621"/>
    <w:rsid w:val="00A04717"/>
    <w:rsid w:val="00A05A0F"/>
    <w:rsid w:val="00A06E6C"/>
    <w:rsid w:val="00A0763E"/>
    <w:rsid w:val="00A07655"/>
    <w:rsid w:val="00A10213"/>
    <w:rsid w:val="00A11421"/>
    <w:rsid w:val="00A124BE"/>
    <w:rsid w:val="00A1441E"/>
    <w:rsid w:val="00A14986"/>
    <w:rsid w:val="00A17017"/>
    <w:rsid w:val="00A17592"/>
    <w:rsid w:val="00A2000C"/>
    <w:rsid w:val="00A214E2"/>
    <w:rsid w:val="00A2781E"/>
    <w:rsid w:val="00A30502"/>
    <w:rsid w:val="00A30B44"/>
    <w:rsid w:val="00A314FB"/>
    <w:rsid w:val="00A3476E"/>
    <w:rsid w:val="00A34B06"/>
    <w:rsid w:val="00A34F52"/>
    <w:rsid w:val="00A3643D"/>
    <w:rsid w:val="00A36D2A"/>
    <w:rsid w:val="00A40358"/>
    <w:rsid w:val="00A40E0F"/>
    <w:rsid w:val="00A41143"/>
    <w:rsid w:val="00A411E6"/>
    <w:rsid w:val="00A41E08"/>
    <w:rsid w:val="00A42919"/>
    <w:rsid w:val="00A42D9A"/>
    <w:rsid w:val="00A42EB6"/>
    <w:rsid w:val="00A44591"/>
    <w:rsid w:val="00A45FBD"/>
    <w:rsid w:val="00A46D3F"/>
    <w:rsid w:val="00A5049B"/>
    <w:rsid w:val="00A515EB"/>
    <w:rsid w:val="00A52809"/>
    <w:rsid w:val="00A5290B"/>
    <w:rsid w:val="00A52DC4"/>
    <w:rsid w:val="00A543A3"/>
    <w:rsid w:val="00A54613"/>
    <w:rsid w:val="00A54922"/>
    <w:rsid w:val="00A54F9C"/>
    <w:rsid w:val="00A568B5"/>
    <w:rsid w:val="00A56C68"/>
    <w:rsid w:val="00A606C1"/>
    <w:rsid w:val="00A607DC"/>
    <w:rsid w:val="00A63817"/>
    <w:rsid w:val="00A65317"/>
    <w:rsid w:val="00A736CF"/>
    <w:rsid w:val="00A738F3"/>
    <w:rsid w:val="00A73A2E"/>
    <w:rsid w:val="00A73D2F"/>
    <w:rsid w:val="00A75025"/>
    <w:rsid w:val="00A81656"/>
    <w:rsid w:val="00A83503"/>
    <w:rsid w:val="00A85A89"/>
    <w:rsid w:val="00A87DC3"/>
    <w:rsid w:val="00A91646"/>
    <w:rsid w:val="00A9262F"/>
    <w:rsid w:val="00A9280C"/>
    <w:rsid w:val="00A928E9"/>
    <w:rsid w:val="00A92DE8"/>
    <w:rsid w:val="00A92F2A"/>
    <w:rsid w:val="00A93265"/>
    <w:rsid w:val="00A93454"/>
    <w:rsid w:val="00A94075"/>
    <w:rsid w:val="00A94350"/>
    <w:rsid w:val="00A94738"/>
    <w:rsid w:val="00A97DA8"/>
    <w:rsid w:val="00AA0626"/>
    <w:rsid w:val="00AA0A50"/>
    <w:rsid w:val="00AA2C40"/>
    <w:rsid w:val="00AA3CE7"/>
    <w:rsid w:val="00AA3F55"/>
    <w:rsid w:val="00AA578D"/>
    <w:rsid w:val="00AA6678"/>
    <w:rsid w:val="00AB0BD3"/>
    <w:rsid w:val="00AB16A5"/>
    <w:rsid w:val="00AB487B"/>
    <w:rsid w:val="00AB4EA5"/>
    <w:rsid w:val="00AB544F"/>
    <w:rsid w:val="00AB5A0E"/>
    <w:rsid w:val="00AB695B"/>
    <w:rsid w:val="00AB7CDC"/>
    <w:rsid w:val="00AC0460"/>
    <w:rsid w:val="00AC2B91"/>
    <w:rsid w:val="00AD01C8"/>
    <w:rsid w:val="00AD34DE"/>
    <w:rsid w:val="00AD51CA"/>
    <w:rsid w:val="00AD599C"/>
    <w:rsid w:val="00AD693D"/>
    <w:rsid w:val="00AD6E14"/>
    <w:rsid w:val="00AE1BF4"/>
    <w:rsid w:val="00AE3788"/>
    <w:rsid w:val="00AE5C11"/>
    <w:rsid w:val="00AE61E9"/>
    <w:rsid w:val="00AE6EA4"/>
    <w:rsid w:val="00AE6F3C"/>
    <w:rsid w:val="00AF1CC4"/>
    <w:rsid w:val="00AF3B1E"/>
    <w:rsid w:val="00AF3EC4"/>
    <w:rsid w:val="00AF471A"/>
    <w:rsid w:val="00AF6326"/>
    <w:rsid w:val="00AF7822"/>
    <w:rsid w:val="00B02420"/>
    <w:rsid w:val="00B031E5"/>
    <w:rsid w:val="00B07491"/>
    <w:rsid w:val="00B12876"/>
    <w:rsid w:val="00B13CB0"/>
    <w:rsid w:val="00B15CDF"/>
    <w:rsid w:val="00B160C3"/>
    <w:rsid w:val="00B17D1B"/>
    <w:rsid w:val="00B20033"/>
    <w:rsid w:val="00B20162"/>
    <w:rsid w:val="00B2229B"/>
    <w:rsid w:val="00B22C74"/>
    <w:rsid w:val="00B23612"/>
    <w:rsid w:val="00B24408"/>
    <w:rsid w:val="00B24EAE"/>
    <w:rsid w:val="00B274A2"/>
    <w:rsid w:val="00B30941"/>
    <w:rsid w:val="00B32B00"/>
    <w:rsid w:val="00B32EA7"/>
    <w:rsid w:val="00B32EE8"/>
    <w:rsid w:val="00B34AC0"/>
    <w:rsid w:val="00B34B00"/>
    <w:rsid w:val="00B35FE8"/>
    <w:rsid w:val="00B3687C"/>
    <w:rsid w:val="00B37220"/>
    <w:rsid w:val="00B413A3"/>
    <w:rsid w:val="00B42305"/>
    <w:rsid w:val="00B42445"/>
    <w:rsid w:val="00B430AF"/>
    <w:rsid w:val="00B46391"/>
    <w:rsid w:val="00B47F34"/>
    <w:rsid w:val="00B5043F"/>
    <w:rsid w:val="00B50EA2"/>
    <w:rsid w:val="00B51874"/>
    <w:rsid w:val="00B5191C"/>
    <w:rsid w:val="00B528B0"/>
    <w:rsid w:val="00B52BCF"/>
    <w:rsid w:val="00B52BE4"/>
    <w:rsid w:val="00B53094"/>
    <w:rsid w:val="00B54521"/>
    <w:rsid w:val="00B54CA0"/>
    <w:rsid w:val="00B55C8F"/>
    <w:rsid w:val="00B56A9F"/>
    <w:rsid w:val="00B57E7C"/>
    <w:rsid w:val="00B60715"/>
    <w:rsid w:val="00B610CE"/>
    <w:rsid w:val="00B63134"/>
    <w:rsid w:val="00B63935"/>
    <w:rsid w:val="00B6520B"/>
    <w:rsid w:val="00B6591A"/>
    <w:rsid w:val="00B673AB"/>
    <w:rsid w:val="00B67C19"/>
    <w:rsid w:val="00B72296"/>
    <w:rsid w:val="00B7547B"/>
    <w:rsid w:val="00B75CEC"/>
    <w:rsid w:val="00B76678"/>
    <w:rsid w:val="00B768B5"/>
    <w:rsid w:val="00B76C1E"/>
    <w:rsid w:val="00B80F60"/>
    <w:rsid w:val="00B82782"/>
    <w:rsid w:val="00B82BC1"/>
    <w:rsid w:val="00B83715"/>
    <w:rsid w:val="00B86E4F"/>
    <w:rsid w:val="00B9061F"/>
    <w:rsid w:val="00B92B19"/>
    <w:rsid w:val="00B93961"/>
    <w:rsid w:val="00B93E10"/>
    <w:rsid w:val="00B94529"/>
    <w:rsid w:val="00B95871"/>
    <w:rsid w:val="00B95B3A"/>
    <w:rsid w:val="00BA16B9"/>
    <w:rsid w:val="00BA3AE8"/>
    <w:rsid w:val="00BB1DEB"/>
    <w:rsid w:val="00BB646B"/>
    <w:rsid w:val="00BB6506"/>
    <w:rsid w:val="00BB6596"/>
    <w:rsid w:val="00BB7215"/>
    <w:rsid w:val="00BB7FC9"/>
    <w:rsid w:val="00BC1B95"/>
    <w:rsid w:val="00BC59D8"/>
    <w:rsid w:val="00BC68C5"/>
    <w:rsid w:val="00BD0C9E"/>
    <w:rsid w:val="00BD2D4A"/>
    <w:rsid w:val="00BD358E"/>
    <w:rsid w:val="00BD3C8F"/>
    <w:rsid w:val="00BD67EE"/>
    <w:rsid w:val="00BD776E"/>
    <w:rsid w:val="00BD7C2A"/>
    <w:rsid w:val="00BE49E1"/>
    <w:rsid w:val="00BE59E6"/>
    <w:rsid w:val="00BE654C"/>
    <w:rsid w:val="00BE7707"/>
    <w:rsid w:val="00BE7843"/>
    <w:rsid w:val="00BF09BA"/>
    <w:rsid w:val="00BF2662"/>
    <w:rsid w:val="00BF3055"/>
    <w:rsid w:val="00BF34CA"/>
    <w:rsid w:val="00BF5E12"/>
    <w:rsid w:val="00BF6BA6"/>
    <w:rsid w:val="00C00FC1"/>
    <w:rsid w:val="00C02273"/>
    <w:rsid w:val="00C033E6"/>
    <w:rsid w:val="00C04B97"/>
    <w:rsid w:val="00C05E97"/>
    <w:rsid w:val="00C07BC3"/>
    <w:rsid w:val="00C10628"/>
    <w:rsid w:val="00C11DA6"/>
    <w:rsid w:val="00C13B1E"/>
    <w:rsid w:val="00C14A48"/>
    <w:rsid w:val="00C14F76"/>
    <w:rsid w:val="00C1650E"/>
    <w:rsid w:val="00C16620"/>
    <w:rsid w:val="00C16A1F"/>
    <w:rsid w:val="00C17035"/>
    <w:rsid w:val="00C20C04"/>
    <w:rsid w:val="00C21877"/>
    <w:rsid w:val="00C27A53"/>
    <w:rsid w:val="00C30E6C"/>
    <w:rsid w:val="00C33EC6"/>
    <w:rsid w:val="00C36292"/>
    <w:rsid w:val="00C40598"/>
    <w:rsid w:val="00C40998"/>
    <w:rsid w:val="00C41E1A"/>
    <w:rsid w:val="00C42BEE"/>
    <w:rsid w:val="00C43D0D"/>
    <w:rsid w:val="00C44183"/>
    <w:rsid w:val="00C45181"/>
    <w:rsid w:val="00C46CD2"/>
    <w:rsid w:val="00C47258"/>
    <w:rsid w:val="00C514BA"/>
    <w:rsid w:val="00C51B90"/>
    <w:rsid w:val="00C53767"/>
    <w:rsid w:val="00C53FA7"/>
    <w:rsid w:val="00C55160"/>
    <w:rsid w:val="00C565D2"/>
    <w:rsid w:val="00C575F2"/>
    <w:rsid w:val="00C57F5D"/>
    <w:rsid w:val="00C61B69"/>
    <w:rsid w:val="00C61EAC"/>
    <w:rsid w:val="00C62486"/>
    <w:rsid w:val="00C64E28"/>
    <w:rsid w:val="00C66EA8"/>
    <w:rsid w:val="00C66FC6"/>
    <w:rsid w:val="00C7072D"/>
    <w:rsid w:val="00C71ACA"/>
    <w:rsid w:val="00C727E2"/>
    <w:rsid w:val="00C742AC"/>
    <w:rsid w:val="00C758E1"/>
    <w:rsid w:val="00C762A2"/>
    <w:rsid w:val="00C76BED"/>
    <w:rsid w:val="00C774DD"/>
    <w:rsid w:val="00C7761F"/>
    <w:rsid w:val="00C80A1D"/>
    <w:rsid w:val="00C80C6F"/>
    <w:rsid w:val="00C81264"/>
    <w:rsid w:val="00C81E33"/>
    <w:rsid w:val="00C853A7"/>
    <w:rsid w:val="00C85774"/>
    <w:rsid w:val="00C866CE"/>
    <w:rsid w:val="00C86AF0"/>
    <w:rsid w:val="00C86CF0"/>
    <w:rsid w:val="00C927BB"/>
    <w:rsid w:val="00C93B79"/>
    <w:rsid w:val="00C9441A"/>
    <w:rsid w:val="00C94A74"/>
    <w:rsid w:val="00C950A5"/>
    <w:rsid w:val="00C9510D"/>
    <w:rsid w:val="00CA01BF"/>
    <w:rsid w:val="00CA09F2"/>
    <w:rsid w:val="00CA118C"/>
    <w:rsid w:val="00CA1A79"/>
    <w:rsid w:val="00CA21E7"/>
    <w:rsid w:val="00CA5094"/>
    <w:rsid w:val="00CB1689"/>
    <w:rsid w:val="00CB3072"/>
    <w:rsid w:val="00CB593F"/>
    <w:rsid w:val="00CB7ECE"/>
    <w:rsid w:val="00CC2D61"/>
    <w:rsid w:val="00CC3F27"/>
    <w:rsid w:val="00CC3F8E"/>
    <w:rsid w:val="00CC3FB7"/>
    <w:rsid w:val="00CC42E9"/>
    <w:rsid w:val="00CC4B95"/>
    <w:rsid w:val="00CC58A2"/>
    <w:rsid w:val="00CC6730"/>
    <w:rsid w:val="00CC7958"/>
    <w:rsid w:val="00CD0E6E"/>
    <w:rsid w:val="00CD1581"/>
    <w:rsid w:val="00CD34E3"/>
    <w:rsid w:val="00CD4526"/>
    <w:rsid w:val="00CD45BA"/>
    <w:rsid w:val="00CD5E08"/>
    <w:rsid w:val="00CD725D"/>
    <w:rsid w:val="00CD78BB"/>
    <w:rsid w:val="00CE0A34"/>
    <w:rsid w:val="00CE1078"/>
    <w:rsid w:val="00CE1C7A"/>
    <w:rsid w:val="00CE23CE"/>
    <w:rsid w:val="00CE2EC5"/>
    <w:rsid w:val="00CE3FA6"/>
    <w:rsid w:val="00CE408A"/>
    <w:rsid w:val="00CE63A7"/>
    <w:rsid w:val="00CE65A7"/>
    <w:rsid w:val="00CF0537"/>
    <w:rsid w:val="00CF1B77"/>
    <w:rsid w:val="00CF1B8A"/>
    <w:rsid w:val="00CF1BF6"/>
    <w:rsid w:val="00CF305D"/>
    <w:rsid w:val="00CF3416"/>
    <w:rsid w:val="00CF3A15"/>
    <w:rsid w:val="00CF4106"/>
    <w:rsid w:val="00CF6396"/>
    <w:rsid w:val="00CF799C"/>
    <w:rsid w:val="00D01D2E"/>
    <w:rsid w:val="00D03D3D"/>
    <w:rsid w:val="00D03DB1"/>
    <w:rsid w:val="00D044A2"/>
    <w:rsid w:val="00D0466D"/>
    <w:rsid w:val="00D04755"/>
    <w:rsid w:val="00D05450"/>
    <w:rsid w:val="00D055F4"/>
    <w:rsid w:val="00D05DB8"/>
    <w:rsid w:val="00D06908"/>
    <w:rsid w:val="00D10AD1"/>
    <w:rsid w:val="00D11FE2"/>
    <w:rsid w:val="00D13005"/>
    <w:rsid w:val="00D137C1"/>
    <w:rsid w:val="00D13A9D"/>
    <w:rsid w:val="00D13E98"/>
    <w:rsid w:val="00D14E97"/>
    <w:rsid w:val="00D15834"/>
    <w:rsid w:val="00D162C3"/>
    <w:rsid w:val="00D16778"/>
    <w:rsid w:val="00D201E1"/>
    <w:rsid w:val="00D224C2"/>
    <w:rsid w:val="00D22A3A"/>
    <w:rsid w:val="00D24664"/>
    <w:rsid w:val="00D2489C"/>
    <w:rsid w:val="00D25603"/>
    <w:rsid w:val="00D25AEF"/>
    <w:rsid w:val="00D27826"/>
    <w:rsid w:val="00D31425"/>
    <w:rsid w:val="00D31E0E"/>
    <w:rsid w:val="00D329BC"/>
    <w:rsid w:val="00D330C2"/>
    <w:rsid w:val="00D33A93"/>
    <w:rsid w:val="00D33C0B"/>
    <w:rsid w:val="00D3409B"/>
    <w:rsid w:val="00D36A02"/>
    <w:rsid w:val="00D37CE9"/>
    <w:rsid w:val="00D4285C"/>
    <w:rsid w:val="00D44F80"/>
    <w:rsid w:val="00D45F0C"/>
    <w:rsid w:val="00D47002"/>
    <w:rsid w:val="00D4746D"/>
    <w:rsid w:val="00D514EE"/>
    <w:rsid w:val="00D516E3"/>
    <w:rsid w:val="00D54CCE"/>
    <w:rsid w:val="00D55543"/>
    <w:rsid w:val="00D56D70"/>
    <w:rsid w:val="00D57067"/>
    <w:rsid w:val="00D60F3B"/>
    <w:rsid w:val="00D63128"/>
    <w:rsid w:val="00D636B1"/>
    <w:rsid w:val="00D662EB"/>
    <w:rsid w:val="00D663D1"/>
    <w:rsid w:val="00D66C87"/>
    <w:rsid w:val="00D672FD"/>
    <w:rsid w:val="00D676CC"/>
    <w:rsid w:val="00D705A4"/>
    <w:rsid w:val="00D70D5D"/>
    <w:rsid w:val="00D72C86"/>
    <w:rsid w:val="00D72FE2"/>
    <w:rsid w:val="00D7329B"/>
    <w:rsid w:val="00D757E5"/>
    <w:rsid w:val="00D76AA7"/>
    <w:rsid w:val="00D807DF"/>
    <w:rsid w:val="00D80A30"/>
    <w:rsid w:val="00D82C77"/>
    <w:rsid w:val="00D83A0C"/>
    <w:rsid w:val="00D8419A"/>
    <w:rsid w:val="00D863A6"/>
    <w:rsid w:val="00D864B1"/>
    <w:rsid w:val="00D91AE8"/>
    <w:rsid w:val="00D9224D"/>
    <w:rsid w:val="00D92DCE"/>
    <w:rsid w:val="00D93873"/>
    <w:rsid w:val="00D94ED4"/>
    <w:rsid w:val="00D957AC"/>
    <w:rsid w:val="00D962C6"/>
    <w:rsid w:val="00DA1729"/>
    <w:rsid w:val="00DA2727"/>
    <w:rsid w:val="00DA4913"/>
    <w:rsid w:val="00DA5625"/>
    <w:rsid w:val="00DB22DA"/>
    <w:rsid w:val="00DB3D9D"/>
    <w:rsid w:val="00DB4A4C"/>
    <w:rsid w:val="00DB4D37"/>
    <w:rsid w:val="00DB5995"/>
    <w:rsid w:val="00DB6E3D"/>
    <w:rsid w:val="00DB7928"/>
    <w:rsid w:val="00DC0942"/>
    <w:rsid w:val="00DC12E7"/>
    <w:rsid w:val="00DC1B2A"/>
    <w:rsid w:val="00DC48F6"/>
    <w:rsid w:val="00DC4DE6"/>
    <w:rsid w:val="00DC62F7"/>
    <w:rsid w:val="00DC7CC7"/>
    <w:rsid w:val="00DD05A5"/>
    <w:rsid w:val="00DD1D3E"/>
    <w:rsid w:val="00DD1DAA"/>
    <w:rsid w:val="00DD3207"/>
    <w:rsid w:val="00DD3EF7"/>
    <w:rsid w:val="00DD5EE9"/>
    <w:rsid w:val="00DD6D5A"/>
    <w:rsid w:val="00DD7A4E"/>
    <w:rsid w:val="00DE173B"/>
    <w:rsid w:val="00DE3BB5"/>
    <w:rsid w:val="00DE42F9"/>
    <w:rsid w:val="00DE434D"/>
    <w:rsid w:val="00DE4A81"/>
    <w:rsid w:val="00DE4B04"/>
    <w:rsid w:val="00DE665B"/>
    <w:rsid w:val="00DF0235"/>
    <w:rsid w:val="00DF167F"/>
    <w:rsid w:val="00DF23E0"/>
    <w:rsid w:val="00DF5543"/>
    <w:rsid w:val="00DF57A5"/>
    <w:rsid w:val="00DF7C13"/>
    <w:rsid w:val="00E01240"/>
    <w:rsid w:val="00E06245"/>
    <w:rsid w:val="00E06609"/>
    <w:rsid w:val="00E06E9E"/>
    <w:rsid w:val="00E07E09"/>
    <w:rsid w:val="00E11732"/>
    <w:rsid w:val="00E11BA8"/>
    <w:rsid w:val="00E1207B"/>
    <w:rsid w:val="00E12742"/>
    <w:rsid w:val="00E136AE"/>
    <w:rsid w:val="00E1418A"/>
    <w:rsid w:val="00E16008"/>
    <w:rsid w:val="00E162B7"/>
    <w:rsid w:val="00E1653A"/>
    <w:rsid w:val="00E17367"/>
    <w:rsid w:val="00E1783F"/>
    <w:rsid w:val="00E17C42"/>
    <w:rsid w:val="00E24784"/>
    <w:rsid w:val="00E24FD0"/>
    <w:rsid w:val="00E25377"/>
    <w:rsid w:val="00E25F99"/>
    <w:rsid w:val="00E2724D"/>
    <w:rsid w:val="00E27449"/>
    <w:rsid w:val="00E27843"/>
    <w:rsid w:val="00E30740"/>
    <w:rsid w:val="00E30E94"/>
    <w:rsid w:val="00E31AD5"/>
    <w:rsid w:val="00E324CD"/>
    <w:rsid w:val="00E32BA5"/>
    <w:rsid w:val="00E32D7A"/>
    <w:rsid w:val="00E33C24"/>
    <w:rsid w:val="00E33CF6"/>
    <w:rsid w:val="00E33DB7"/>
    <w:rsid w:val="00E34DAA"/>
    <w:rsid w:val="00E37BA7"/>
    <w:rsid w:val="00E40096"/>
    <w:rsid w:val="00E404A0"/>
    <w:rsid w:val="00E42268"/>
    <w:rsid w:val="00E43696"/>
    <w:rsid w:val="00E438A3"/>
    <w:rsid w:val="00E43CAD"/>
    <w:rsid w:val="00E46607"/>
    <w:rsid w:val="00E46D25"/>
    <w:rsid w:val="00E471BD"/>
    <w:rsid w:val="00E47688"/>
    <w:rsid w:val="00E50DC9"/>
    <w:rsid w:val="00E54910"/>
    <w:rsid w:val="00E56EB7"/>
    <w:rsid w:val="00E57A17"/>
    <w:rsid w:val="00E61273"/>
    <w:rsid w:val="00E628BB"/>
    <w:rsid w:val="00E6348E"/>
    <w:rsid w:val="00E64D04"/>
    <w:rsid w:val="00E64E05"/>
    <w:rsid w:val="00E67CE2"/>
    <w:rsid w:val="00E70C7A"/>
    <w:rsid w:val="00E722F1"/>
    <w:rsid w:val="00E73968"/>
    <w:rsid w:val="00E759D4"/>
    <w:rsid w:val="00E75EF5"/>
    <w:rsid w:val="00E76D28"/>
    <w:rsid w:val="00E76F99"/>
    <w:rsid w:val="00E77585"/>
    <w:rsid w:val="00E83146"/>
    <w:rsid w:val="00E85BA2"/>
    <w:rsid w:val="00E87008"/>
    <w:rsid w:val="00E904AF"/>
    <w:rsid w:val="00E917FE"/>
    <w:rsid w:val="00E923A5"/>
    <w:rsid w:val="00E942EE"/>
    <w:rsid w:val="00E94AD8"/>
    <w:rsid w:val="00E958A6"/>
    <w:rsid w:val="00E959F2"/>
    <w:rsid w:val="00E97C3C"/>
    <w:rsid w:val="00E97E10"/>
    <w:rsid w:val="00EA1753"/>
    <w:rsid w:val="00EA1BC0"/>
    <w:rsid w:val="00EA1EF0"/>
    <w:rsid w:val="00EA28B8"/>
    <w:rsid w:val="00EA3B6D"/>
    <w:rsid w:val="00EA449A"/>
    <w:rsid w:val="00EA45B2"/>
    <w:rsid w:val="00EA51D1"/>
    <w:rsid w:val="00EA51F1"/>
    <w:rsid w:val="00EA6524"/>
    <w:rsid w:val="00EB033E"/>
    <w:rsid w:val="00EB095F"/>
    <w:rsid w:val="00EB1FA3"/>
    <w:rsid w:val="00EB27C7"/>
    <w:rsid w:val="00EB310B"/>
    <w:rsid w:val="00EB3ADC"/>
    <w:rsid w:val="00EB518F"/>
    <w:rsid w:val="00EC015D"/>
    <w:rsid w:val="00EC11C5"/>
    <w:rsid w:val="00EC1D53"/>
    <w:rsid w:val="00EC62C4"/>
    <w:rsid w:val="00EC7849"/>
    <w:rsid w:val="00EC7EEA"/>
    <w:rsid w:val="00ED2BC1"/>
    <w:rsid w:val="00ED33DE"/>
    <w:rsid w:val="00ED6D6A"/>
    <w:rsid w:val="00EE183B"/>
    <w:rsid w:val="00EE2F37"/>
    <w:rsid w:val="00EF05B5"/>
    <w:rsid w:val="00EF2349"/>
    <w:rsid w:val="00EF3079"/>
    <w:rsid w:val="00EF4046"/>
    <w:rsid w:val="00EF4C15"/>
    <w:rsid w:val="00EF529D"/>
    <w:rsid w:val="00EF5375"/>
    <w:rsid w:val="00EF5666"/>
    <w:rsid w:val="00EF5C7F"/>
    <w:rsid w:val="00EF5F01"/>
    <w:rsid w:val="00EF676E"/>
    <w:rsid w:val="00EF7265"/>
    <w:rsid w:val="00EF7B28"/>
    <w:rsid w:val="00F00563"/>
    <w:rsid w:val="00F02FEA"/>
    <w:rsid w:val="00F069EB"/>
    <w:rsid w:val="00F07589"/>
    <w:rsid w:val="00F11F0A"/>
    <w:rsid w:val="00F12F0D"/>
    <w:rsid w:val="00F12FA9"/>
    <w:rsid w:val="00F1333D"/>
    <w:rsid w:val="00F14612"/>
    <w:rsid w:val="00F1728A"/>
    <w:rsid w:val="00F20161"/>
    <w:rsid w:val="00F229E8"/>
    <w:rsid w:val="00F22D27"/>
    <w:rsid w:val="00F22DA3"/>
    <w:rsid w:val="00F23421"/>
    <w:rsid w:val="00F23443"/>
    <w:rsid w:val="00F23910"/>
    <w:rsid w:val="00F25393"/>
    <w:rsid w:val="00F25C2A"/>
    <w:rsid w:val="00F26598"/>
    <w:rsid w:val="00F3005B"/>
    <w:rsid w:val="00F30A6A"/>
    <w:rsid w:val="00F3172B"/>
    <w:rsid w:val="00F32727"/>
    <w:rsid w:val="00F3327A"/>
    <w:rsid w:val="00F35517"/>
    <w:rsid w:val="00F35C97"/>
    <w:rsid w:val="00F3738C"/>
    <w:rsid w:val="00F40582"/>
    <w:rsid w:val="00F40AC2"/>
    <w:rsid w:val="00F4188E"/>
    <w:rsid w:val="00F42117"/>
    <w:rsid w:val="00F42C82"/>
    <w:rsid w:val="00F51613"/>
    <w:rsid w:val="00F533A6"/>
    <w:rsid w:val="00F55118"/>
    <w:rsid w:val="00F57F09"/>
    <w:rsid w:val="00F60282"/>
    <w:rsid w:val="00F6038E"/>
    <w:rsid w:val="00F60D8F"/>
    <w:rsid w:val="00F63B4C"/>
    <w:rsid w:val="00F65050"/>
    <w:rsid w:val="00F67D4F"/>
    <w:rsid w:val="00F7012F"/>
    <w:rsid w:val="00F70DDA"/>
    <w:rsid w:val="00F724CB"/>
    <w:rsid w:val="00F74FC9"/>
    <w:rsid w:val="00F771AB"/>
    <w:rsid w:val="00F77858"/>
    <w:rsid w:val="00F779FB"/>
    <w:rsid w:val="00F80313"/>
    <w:rsid w:val="00F80869"/>
    <w:rsid w:val="00F8235B"/>
    <w:rsid w:val="00F84D23"/>
    <w:rsid w:val="00F85BA2"/>
    <w:rsid w:val="00F8605F"/>
    <w:rsid w:val="00F86B76"/>
    <w:rsid w:val="00F872BE"/>
    <w:rsid w:val="00F8730C"/>
    <w:rsid w:val="00F87412"/>
    <w:rsid w:val="00F877EC"/>
    <w:rsid w:val="00F93958"/>
    <w:rsid w:val="00F939B2"/>
    <w:rsid w:val="00F945AF"/>
    <w:rsid w:val="00F94B27"/>
    <w:rsid w:val="00F95B95"/>
    <w:rsid w:val="00F96213"/>
    <w:rsid w:val="00F970DC"/>
    <w:rsid w:val="00F974A5"/>
    <w:rsid w:val="00F97E40"/>
    <w:rsid w:val="00FA0448"/>
    <w:rsid w:val="00FA16BC"/>
    <w:rsid w:val="00FA48C5"/>
    <w:rsid w:val="00FA65A8"/>
    <w:rsid w:val="00FA7F47"/>
    <w:rsid w:val="00FB2DA5"/>
    <w:rsid w:val="00FB37B6"/>
    <w:rsid w:val="00FB4019"/>
    <w:rsid w:val="00FB4C98"/>
    <w:rsid w:val="00FB6804"/>
    <w:rsid w:val="00FB73D0"/>
    <w:rsid w:val="00FC0202"/>
    <w:rsid w:val="00FC0935"/>
    <w:rsid w:val="00FC3221"/>
    <w:rsid w:val="00FC43CE"/>
    <w:rsid w:val="00FC4938"/>
    <w:rsid w:val="00FC5807"/>
    <w:rsid w:val="00FC658A"/>
    <w:rsid w:val="00FC6CE2"/>
    <w:rsid w:val="00FC7D93"/>
    <w:rsid w:val="00FD0C1C"/>
    <w:rsid w:val="00FD0E61"/>
    <w:rsid w:val="00FD1867"/>
    <w:rsid w:val="00FD186E"/>
    <w:rsid w:val="00FD1B10"/>
    <w:rsid w:val="00FD2F8F"/>
    <w:rsid w:val="00FD30DC"/>
    <w:rsid w:val="00FD4133"/>
    <w:rsid w:val="00FD4225"/>
    <w:rsid w:val="00FD48B6"/>
    <w:rsid w:val="00FD5648"/>
    <w:rsid w:val="00FD5E18"/>
    <w:rsid w:val="00FD6105"/>
    <w:rsid w:val="00FE12BF"/>
    <w:rsid w:val="00FE2164"/>
    <w:rsid w:val="00FE2454"/>
    <w:rsid w:val="00FE2681"/>
    <w:rsid w:val="00FE31B9"/>
    <w:rsid w:val="00FE5AEA"/>
    <w:rsid w:val="00FE5E84"/>
    <w:rsid w:val="00FF052E"/>
    <w:rsid w:val="00FF0A16"/>
    <w:rsid w:val="00FF0AA7"/>
    <w:rsid w:val="00FF2962"/>
    <w:rsid w:val="00FF34CB"/>
    <w:rsid w:val="00FF35F2"/>
    <w:rsid w:val="00FF48B6"/>
    <w:rsid w:val="00FF5632"/>
    <w:rsid w:val="00FF5E16"/>
    <w:rsid w:val="00FF66C1"/>
    <w:rsid w:val="00FF684F"/>
    <w:rsid w:val="00FF6928"/>
    <w:rsid w:val="027E0E9A"/>
    <w:rsid w:val="0D3F039C"/>
    <w:rsid w:val="14AEB6D2"/>
    <w:rsid w:val="14F14246"/>
    <w:rsid w:val="19080E4F"/>
    <w:rsid w:val="23633B8A"/>
    <w:rsid w:val="27AB6169"/>
    <w:rsid w:val="28FFBADF"/>
    <w:rsid w:val="2BBD5926"/>
    <w:rsid w:val="2E477A68"/>
    <w:rsid w:val="3BFC5C20"/>
    <w:rsid w:val="3CBF24D6"/>
    <w:rsid w:val="3CEED233"/>
    <w:rsid w:val="3DEA0322"/>
    <w:rsid w:val="3E8B0D89"/>
    <w:rsid w:val="3F3E476E"/>
    <w:rsid w:val="3FFF791F"/>
    <w:rsid w:val="41DA090D"/>
    <w:rsid w:val="46FF19F5"/>
    <w:rsid w:val="4BD7350E"/>
    <w:rsid w:val="4C240E96"/>
    <w:rsid w:val="5A6B2C2A"/>
    <w:rsid w:val="5D7702EB"/>
    <w:rsid w:val="5EF7C0DA"/>
    <w:rsid w:val="5F5F91AB"/>
    <w:rsid w:val="65EFA542"/>
    <w:rsid w:val="679DD43B"/>
    <w:rsid w:val="6CEFE7B4"/>
    <w:rsid w:val="6DD375AE"/>
    <w:rsid w:val="6DEF5B20"/>
    <w:rsid w:val="6E9E7436"/>
    <w:rsid w:val="6F77A902"/>
    <w:rsid w:val="6FF3D9A0"/>
    <w:rsid w:val="74AA28CD"/>
    <w:rsid w:val="77EEE846"/>
    <w:rsid w:val="7EFE8642"/>
    <w:rsid w:val="7F6EAEC9"/>
    <w:rsid w:val="7F968EA7"/>
    <w:rsid w:val="B9FFA117"/>
    <w:rsid w:val="BFBF2172"/>
    <w:rsid w:val="BFE25C48"/>
    <w:rsid w:val="BFECCE02"/>
    <w:rsid w:val="C97F417C"/>
    <w:rsid w:val="DB6BB407"/>
    <w:rsid w:val="DBFB2F34"/>
    <w:rsid w:val="DF7E68D8"/>
    <w:rsid w:val="DFC540BF"/>
    <w:rsid w:val="DFD92C40"/>
    <w:rsid w:val="F5CF691F"/>
    <w:rsid w:val="F79F9137"/>
    <w:rsid w:val="F7CFB07C"/>
    <w:rsid w:val="F9EE2214"/>
    <w:rsid w:val="FA3E2984"/>
    <w:rsid w:val="FBDCF662"/>
    <w:rsid w:val="FD7F032C"/>
    <w:rsid w:val="FDF76941"/>
    <w:rsid w:val="FFFE60C6"/>
    <w:rsid w:val="FFFFFC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="楷体_GB2312" w:eastAsia="楷体_GB2312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line="360" w:lineRule="auto"/>
      <w:ind w:firstLine="200" w:firstLineChars="200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semiHidden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Char"/>
    <w:basedOn w:val="12"/>
    <w:link w:val="5"/>
    <w:semiHidden/>
    <w:qFormat/>
    <w:uiPriority w:val="99"/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customStyle="1" w:styleId="24">
    <w:name w:val="网格型1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标题 2 Char"/>
    <w:basedOn w:val="12"/>
    <w:link w:val="3"/>
    <w:qFormat/>
    <w:uiPriority w:val="9"/>
    <w:rPr>
      <w:rFonts w:ascii="楷体_GB2312" w:eastAsia="楷体_GB2312" w:hAnsiTheme="majorHAnsi" w:cstheme="majorBidi"/>
      <w:b/>
      <w:bCs/>
      <w:sz w:val="32"/>
      <w:szCs w:val="32"/>
    </w:rPr>
  </w:style>
  <w:style w:type="character" w:customStyle="1" w:styleId="26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标题 3 Char"/>
    <w:basedOn w:val="12"/>
    <w:link w:val="4"/>
    <w:qFormat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28">
    <w:name w:val="transse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271</Words>
  <Characters>1549</Characters>
  <Lines>12</Lines>
  <Paragraphs>3</Paragraphs>
  <TotalTime>10</TotalTime>
  <ScaleCrop>false</ScaleCrop>
  <LinksUpToDate>false</LinksUpToDate>
  <CharactersWithSpaces>1817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2021-03-02T06:37:00Z</dcterms:created>
  <dc:creator>XY</dc:creator>
  <cp:lastModifiedBy>greatwall</cp:lastModifiedBy>
  <cp:lastPrinted>2021-08-06T10:57:01Z</cp:lastPrinted>
  <dcterms:modified xsi:type="dcterms:W3CDTF">2021-08-06T10:59:40Z</dcterms:modified>
  <cp:revision>554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